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89" w:rsidRDefault="00CF244C">
      <w:pPr>
        <w:rPr>
          <w:i/>
          <w:color w:val="538135" w:themeColor="accent6" w:themeShade="BF"/>
          <w:sz w:val="28"/>
          <w:szCs w:val="28"/>
        </w:rPr>
      </w:pPr>
      <w:r w:rsidRPr="00CF244C">
        <w:rPr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2336" behindDoc="0" locked="0" layoutInCell="1" allowOverlap="1" wp14:anchorId="39DDC36C" wp14:editId="0B9EE5C5">
            <wp:simplePos x="0" y="0"/>
            <wp:positionH relativeFrom="margin">
              <wp:align>right</wp:align>
            </wp:positionH>
            <wp:positionV relativeFrom="margin">
              <wp:posOffset>-466725</wp:posOffset>
            </wp:positionV>
            <wp:extent cx="1330325" cy="904875"/>
            <wp:effectExtent l="0" t="0" r="3175" b="9525"/>
            <wp:wrapThrough wrapText="bothSides">
              <wp:wrapPolygon edited="0">
                <wp:start x="0" y="0"/>
                <wp:lineTo x="0" y="21373"/>
                <wp:lineTo x="21342" y="21373"/>
                <wp:lineTo x="21342" y="0"/>
                <wp:lineTo x="0" y="0"/>
              </wp:wrapPolygon>
            </wp:wrapThrough>
            <wp:docPr id="6" name="Picture 6" descr="Z:\My Pictures\images\Bristol Early Years Teaching Hub Logo - White 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My Pictures\images\Bristol Early Years Teaching Hub Logo - White B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70C0"/>
          <w:sz w:val="24"/>
          <w:szCs w:val="24"/>
        </w:rPr>
        <w:t xml:space="preserve"> </w:t>
      </w:r>
      <w:r w:rsidR="00651DF3" w:rsidRPr="00CF244C">
        <w:rPr>
          <w:b/>
          <w:color w:val="538135" w:themeColor="accent6" w:themeShade="BF"/>
          <w:sz w:val="28"/>
          <w:szCs w:val="28"/>
        </w:rPr>
        <w:t xml:space="preserve">Recruiting EYs </w:t>
      </w:r>
      <w:r w:rsidRPr="00CF244C">
        <w:rPr>
          <w:b/>
          <w:color w:val="538135" w:themeColor="accent6" w:themeShade="BF"/>
          <w:sz w:val="28"/>
          <w:szCs w:val="28"/>
        </w:rPr>
        <w:t xml:space="preserve">Local Specialist Leaders   </w:t>
      </w:r>
      <w:r w:rsidRPr="00CF244C">
        <w:rPr>
          <w:i/>
          <w:color w:val="538135" w:themeColor="accent6" w:themeShade="BF"/>
          <w:sz w:val="28"/>
          <w:szCs w:val="28"/>
        </w:rPr>
        <w:t>February 2020</w:t>
      </w:r>
    </w:p>
    <w:p w:rsidR="00B12E22" w:rsidRPr="00B12E22" w:rsidRDefault="00B12E22">
      <w:pPr>
        <w:rPr>
          <w:b/>
          <w:sz w:val="24"/>
          <w:szCs w:val="24"/>
        </w:rPr>
      </w:pPr>
      <w:r w:rsidRPr="00B12E22">
        <w:rPr>
          <w:sz w:val="24"/>
          <w:szCs w:val="24"/>
        </w:rPr>
        <w:t>To all Early Years Leaders, Teachers and Practitioners,</w:t>
      </w:r>
    </w:p>
    <w:p w:rsidR="00A831ED" w:rsidRDefault="00A831ED">
      <w:pPr>
        <w:rPr>
          <w:b/>
          <w:sz w:val="24"/>
          <w:szCs w:val="24"/>
        </w:rPr>
      </w:pPr>
      <w:r>
        <w:rPr>
          <w:b/>
          <w:sz w:val="24"/>
          <w:szCs w:val="24"/>
        </w:rPr>
        <w:t>Introducing the Bristol</w:t>
      </w:r>
      <w:r w:rsidR="00D33CF9">
        <w:rPr>
          <w:b/>
          <w:sz w:val="24"/>
          <w:szCs w:val="24"/>
        </w:rPr>
        <w:t xml:space="preserve"> Early Years Teaching Hub</w:t>
      </w:r>
    </w:p>
    <w:p w:rsidR="00A831ED" w:rsidRDefault="00A831ED" w:rsidP="00A831ED">
      <w:r>
        <w:t>The Bristol Early Years Teaching School has now been rebranded as the Bristol</w:t>
      </w:r>
      <w:r w:rsidR="00D33CF9">
        <w:t xml:space="preserve"> Early Years Teaching Hub</w:t>
      </w:r>
      <w:r w:rsidR="00CF244C">
        <w:t>, acting as an</w:t>
      </w:r>
      <w:r>
        <w:t xml:space="preserve"> Early Years Hub for the region</w:t>
      </w:r>
      <w:r w:rsidR="000040C9">
        <w:t xml:space="preserve"> and </w:t>
      </w:r>
      <w:r>
        <w:t>offering CPD, bespoke support, leadership development, networking opportunities and intensive setting/school support.</w:t>
      </w:r>
    </w:p>
    <w:p w:rsidR="00A831ED" w:rsidRPr="00A831ED" w:rsidRDefault="00A831ED">
      <w:r>
        <w:t xml:space="preserve">We work in close partnership with Bristol Local Authority EYs team, and also the 5 Counties Teaching School Alliance, which has taken the place of local Teaching Schools in response to the direction of the </w:t>
      </w:r>
      <w:proofErr w:type="spellStart"/>
      <w:r>
        <w:t>DfE</w:t>
      </w:r>
      <w:proofErr w:type="spellEnd"/>
      <w:r>
        <w:t>.</w:t>
      </w:r>
    </w:p>
    <w:p w:rsidR="00FB2518" w:rsidRPr="00E84BE9" w:rsidRDefault="00FB2518">
      <w:pPr>
        <w:rPr>
          <w:b/>
        </w:rPr>
      </w:pPr>
      <w:r w:rsidRPr="00E84BE9">
        <w:rPr>
          <w:b/>
        </w:rPr>
        <w:t>Our Bristol</w:t>
      </w:r>
      <w:r w:rsidR="00D33CF9">
        <w:rPr>
          <w:b/>
        </w:rPr>
        <w:t xml:space="preserve"> Early Years Teaching Hub</w:t>
      </w:r>
      <w:r w:rsidRPr="00E84BE9">
        <w:rPr>
          <w:b/>
        </w:rPr>
        <w:t xml:space="preserve"> is </w:t>
      </w:r>
      <w:r w:rsidR="003F1680">
        <w:rPr>
          <w:b/>
        </w:rPr>
        <w:t xml:space="preserve">now in the position to be able to </w:t>
      </w:r>
      <w:r w:rsidRPr="00E84BE9">
        <w:rPr>
          <w:b/>
        </w:rPr>
        <w:t>expand</w:t>
      </w:r>
      <w:r w:rsidR="003F1680">
        <w:rPr>
          <w:b/>
        </w:rPr>
        <w:t xml:space="preserve"> our group of systems leaders, to find out more please read on.</w:t>
      </w:r>
    </w:p>
    <w:p w:rsidR="00FB2518" w:rsidRDefault="00FB2518">
      <w:r>
        <w:t xml:space="preserve">Previously designated as Specialist Leaders of Education (SLEs), our systems leaders have worked </w:t>
      </w:r>
      <w:r w:rsidR="00E84BE9">
        <w:t xml:space="preserve">successfully </w:t>
      </w:r>
      <w:r>
        <w:t>right across the sector to provide:</w:t>
      </w:r>
    </w:p>
    <w:p w:rsidR="00FB2518" w:rsidRDefault="00FB2518" w:rsidP="00FB2518">
      <w:pPr>
        <w:pStyle w:val="ListParagraph"/>
        <w:numPr>
          <w:ilvl w:val="0"/>
          <w:numId w:val="1"/>
        </w:numPr>
      </w:pPr>
      <w:r>
        <w:t>Intensive 1:1 support to identified schools or settings</w:t>
      </w:r>
    </w:p>
    <w:p w:rsidR="00FB2518" w:rsidRDefault="00FB2518" w:rsidP="00FB2518">
      <w:pPr>
        <w:pStyle w:val="ListParagraph"/>
        <w:numPr>
          <w:ilvl w:val="0"/>
          <w:numId w:val="1"/>
        </w:numPr>
      </w:pPr>
      <w:r>
        <w:t>CPD and leadership development</w:t>
      </w:r>
    </w:p>
    <w:p w:rsidR="00FB2518" w:rsidRDefault="00FB2518" w:rsidP="00FB2518">
      <w:pPr>
        <w:pStyle w:val="ListParagraph"/>
        <w:numPr>
          <w:ilvl w:val="0"/>
          <w:numId w:val="1"/>
        </w:numPr>
      </w:pPr>
      <w:r>
        <w:t>Research and Networking opportunities</w:t>
      </w:r>
      <w:bookmarkStart w:id="0" w:name="_GoBack"/>
      <w:bookmarkEnd w:id="0"/>
    </w:p>
    <w:p w:rsidR="00FB2518" w:rsidRDefault="00FB2518" w:rsidP="00FB2518">
      <w:pPr>
        <w:pStyle w:val="ListParagraph"/>
        <w:numPr>
          <w:ilvl w:val="0"/>
          <w:numId w:val="1"/>
        </w:numPr>
      </w:pPr>
      <w:r>
        <w:t>Sector expertise and wider representation</w:t>
      </w:r>
    </w:p>
    <w:p w:rsidR="00E84BE9" w:rsidRDefault="00E84BE9" w:rsidP="00E84BE9">
      <w:r>
        <w:t>They have been supported by experienced Early Years Leaders in the role of Mentor, and have all accessed leadership and strategic professional development.</w:t>
      </w:r>
    </w:p>
    <w:p w:rsidR="00E84BE9" w:rsidRDefault="00E84BE9" w:rsidP="00E84BE9">
      <w:r>
        <w:t xml:space="preserve">These SLEs will now be designated by our Early Years Hub as </w:t>
      </w:r>
      <w:r w:rsidRPr="00E84BE9">
        <w:rPr>
          <w:b/>
        </w:rPr>
        <w:t>Local Specialist Leaders (LSLs),</w:t>
      </w:r>
      <w:r>
        <w:t xml:space="preserve"> alongside other LSLs that we hope to appoint through this recruitment window, following a locally agreed format.</w:t>
      </w:r>
    </w:p>
    <w:p w:rsidR="00E84BE9" w:rsidRPr="00651DF3" w:rsidRDefault="00E84BE9" w:rsidP="00E84BE9">
      <w:pPr>
        <w:rPr>
          <w:b/>
        </w:rPr>
      </w:pPr>
      <w:r w:rsidRPr="00651DF3">
        <w:rPr>
          <w:b/>
        </w:rPr>
        <w:t>Areas of Specialism.</w:t>
      </w:r>
    </w:p>
    <w:p w:rsidR="00E84BE9" w:rsidRDefault="00096189" w:rsidP="00E84BE9">
      <w:r>
        <w:t xml:space="preserve">We welcome any </w:t>
      </w:r>
      <w:r w:rsidR="00E84BE9">
        <w:t xml:space="preserve">applicants </w:t>
      </w:r>
      <w:r>
        <w:t xml:space="preserve">to </w:t>
      </w:r>
      <w:r w:rsidR="00E84BE9">
        <w:t xml:space="preserve">the </w:t>
      </w:r>
      <w:r>
        <w:t xml:space="preserve">role of LSLs with us who are </w:t>
      </w:r>
      <w:r w:rsidR="00E84BE9">
        <w:t>Early Years Experts, working an any area of our complex sector (Primary Schools, Nursery Schools, PVI Nurseries or as a Childminder).</w:t>
      </w:r>
    </w:p>
    <w:p w:rsidR="00E84BE9" w:rsidRPr="00B12E22" w:rsidRDefault="00E84BE9" w:rsidP="00E84BE9">
      <w:pPr>
        <w:rPr>
          <w:b/>
        </w:rPr>
      </w:pPr>
      <w:r w:rsidRPr="00B12E22">
        <w:rPr>
          <w:b/>
        </w:rPr>
        <w:t xml:space="preserve">Within this expertise we are also looking for further Early </w:t>
      </w:r>
      <w:r w:rsidR="00096189" w:rsidRPr="00B12E22">
        <w:rPr>
          <w:b/>
        </w:rPr>
        <w:t xml:space="preserve">Years Specialisms </w:t>
      </w:r>
      <w:r w:rsidRPr="00B12E22">
        <w:rPr>
          <w:b/>
        </w:rPr>
        <w:t>these are: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503"/>
        <w:gridCol w:w="1502"/>
        <w:gridCol w:w="3006"/>
      </w:tblGrid>
      <w:tr w:rsidR="00E84BE9" w:rsidTr="00E84BE9">
        <w:tc>
          <w:tcPr>
            <w:tcW w:w="3005" w:type="dxa"/>
          </w:tcPr>
          <w:p w:rsidR="00B12E22" w:rsidRDefault="00B12E22" w:rsidP="00E84BE9">
            <w:pPr>
              <w:jc w:val="center"/>
              <w:rPr>
                <w:b/>
                <w:color w:val="4472C4" w:themeColor="accent5"/>
              </w:rPr>
            </w:pPr>
          </w:p>
          <w:p w:rsidR="00E84BE9" w:rsidRPr="00651DF3" w:rsidRDefault="00E84BE9" w:rsidP="00E84BE9">
            <w:pPr>
              <w:jc w:val="center"/>
              <w:rPr>
                <w:b/>
                <w:color w:val="4472C4" w:themeColor="accent5"/>
              </w:rPr>
            </w:pPr>
            <w:r w:rsidRPr="00651DF3">
              <w:rPr>
                <w:b/>
                <w:color w:val="4472C4" w:themeColor="accent5"/>
              </w:rPr>
              <w:t xml:space="preserve">Communication, Language and </w:t>
            </w:r>
            <w:r w:rsidR="00651DF3" w:rsidRPr="00651DF3">
              <w:rPr>
                <w:b/>
                <w:color w:val="4472C4" w:themeColor="accent5"/>
              </w:rPr>
              <w:t>Literacy</w:t>
            </w:r>
          </w:p>
          <w:p w:rsidR="00651DF3" w:rsidRPr="00651DF3" w:rsidRDefault="00651DF3" w:rsidP="00E84BE9">
            <w:pPr>
              <w:jc w:val="center"/>
              <w:rPr>
                <w:b/>
                <w:color w:val="4472C4" w:themeColor="accent5"/>
              </w:rPr>
            </w:pPr>
          </w:p>
        </w:tc>
        <w:tc>
          <w:tcPr>
            <w:tcW w:w="3005" w:type="dxa"/>
            <w:gridSpan w:val="2"/>
          </w:tcPr>
          <w:p w:rsidR="00B12E22" w:rsidRDefault="00B12E22" w:rsidP="00E84BE9">
            <w:pPr>
              <w:jc w:val="center"/>
              <w:rPr>
                <w:b/>
                <w:color w:val="4472C4" w:themeColor="accent5"/>
              </w:rPr>
            </w:pPr>
          </w:p>
          <w:p w:rsidR="00E84BE9" w:rsidRPr="00651DF3" w:rsidRDefault="00E84BE9" w:rsidP="00E84BE9">
            <w:pPr>
              <w:jc w:val="center"/>
              <w:rPr>
                <w:b/>
                <w:color w:val="4472C4" w:themeColor="accent5"/>
              </w:rPr>
            </w:pPr>
            <w:r w:rsidRPr="00651DF3">
              <w:rPr>
                <w:b/>
                <w:color w:val="4472C4" w:themeColor="accent5"/>
              </w:rPr>
              <w:t>SEND</w:t>
            </w:r>
          </w:p>
        </w:tc>
        <w:tc>
          <w:tcPr>
            <w:tcW w:w="3006" w:type="dxa"/>
          </w:tcPr>
          <w:p w:rsidR="00B12E22" w:rsidRDefault="00B12E22" w:rsidP="00E84BE9">
            <w:pPr>
              <w:jc w:val="center"/>
              <w:rPr>
                <w:b/>
                <w:color w:val="4472C4" w:themeColor="accent5"/>
              </w:rPr>
            </w:pPr>
          </w:p>
          <w:p w:rsidR="00E84BE9" w:rsidRPr="00651DF3" w:rsidRDefault="00E84BE9" w:rsidP="00E84BE9">
            <w:pPr>
              <w:jc w:val="center"/>
              <w:rPr>
                <w:b/>
                <w:color w:val="4472C4" w:themeColor="accent5"/>
              </w:rPr>
            </w:pPr>
            <w:r w:rsidRPr="00651DF3">
              <w:rPr>
                <w:b/>
                <w:color w:val="4472C4" w:themeColor="accent5"/>
              </w:rPr>
              <w:t xml:space="preserve">Assessment and </w:t>
            </w:r>
          </w:p>
          <w:p w:rsidR="00E84BE9" w:rsidRPr="00651DF3" w:rsidRDefault="00E84BE9" w:rsidP="00E84BE9">
            <w:pPr>
              <w:jc w:val="center"/>
              <w:rPr>
                <w:b/>
                <w:color w:val="4472C4" w:themeColor="accent5"/>
              </w:rPr>
            </w:pPr>
            <w:r w:rsidRPr="00651DF3">
              <w:rPr>
                <w:b/>
                <w:color w:val="4472C4" w:themeColor="accent5"/>
              </w:rPr>
              <w:t>Transition</w:t>
            </w:r>
          </w:p>
        </w:tc>
      </w:tr>
      <w:tr w:rsidR="00E84BE9" w:rsidTr="00E84BE9">
        <w:tc>
          <w:tcPr>
            <w:tcW w:w="3005" w:type="dxa"/>
          </w:tcPr>
          <w:p w:rsidR="00B12E22" w:rsidRDefault="00B12E22" w:rsidP="00E84BE9">
            <w:pPr>
              <w:jc w:val="center"/>
              <w:rPr>
                <w:b/>
                <w:color w:val="4472C4" w:themeColor="accent5"/>
              </w:rPr>
            </w:pPr>
          </w:p>
          <w:p w:rsidR="00E84BE9" w:rsidRPr="00651DF3" w:rsidRDefault="00E84BE9" w:rsidP="00E84BE9">
            <w:pPr>
              <w:jc w:val="center"/>
              <w:rPr>
                <w:b/>
                <w:color w:val="4472C4" w:themeColor="accent5"/>
              </w:rPr>
            </w:pPr>
            <w:r w:rsidRPr="00651DF3">
              <w:rPr>
                <w:b/>
                <w:color w:val="4472C4" w:themeColor="accent5"/>
              </w:rPr>
              <w:t>Early Maths</w:t>
            </w:r>
          </w:p>
          <w:p w:rsidR="00651DF3" w:rsidRPr="00651DF3" w:rsidRDefault="00651DF3" w:rsidP="00E84BE9">
            <w:pPr>
              <w:jc w:val="center"/>
              <w:rPr>
                <w:b/>
                <w:color w:val="4472C4" w:themeColor="accent5"/>
              </w:rPr>
            </w:pPr>
          </w:p>
        </w:tc>
        <w:tc>
          <w:tcPr>
            <w:tcW w:w="3005" w:type="dxa"/>
            <w:gridSpan w:val="2"/>
          </w:tcPr>
          <w:p w:rsidR="00B12E22" w:rsidRDefault="00B12E22" w:rsidP="00E84BE9">
            <w:pPr>
              <w:jc w:val="center"/>
              <w:rPr>
                <w:b/>
                <w:color w:val="4472C4" w:themeColor="accent5"/>
              </w:rPr>
            </w:pPr>
          </w:p>
          <w:p w:rsidR="00E84BE9" w:rsidRPr="00651DF3" w:rsidRDefault="00E84BE9" w:rsidP="00E84BE9">
            <w:pPr>
              <w:jc w:val="center"/>
              <w:rPr>
                <w:b/>
                <w:color w:val="4472C4" w:themeColor="accent5"/>
              </w:rPr>
            </w:pPr>
            <w:r w:rsidRPr="00651DF3">
              <w:rPr>
                <w:b/>
                <w:color w:val="4472C4" w:themeColor="accent5"/>
              </w:rPr>
              <w:t>Birth to Threes</w:t>
            </w:r>
          </w:p>
        </w:tc>
        <w:tc>
          <w:tcPr>
            <w:tcW w:w="3006" w:type="dxa"/>
          </w:tcPr>
          <w:p w:rsidR="00B12E22" w:rsidRDefault="00B12E22" w:rsidP="00B12E22">
            <w:pPr>
              <w:jc w:val="center"/>
              <w:rPr>
                <w:b/>
                <w:color w:val="4472C4" w:themeColor="accent5"/>
              </w:rPr>
            </w:pPr>
          </w:p>
          <w:p w:rsidR="00E84BE9" w:rsidRDefault="00E84BE9" w:rsidP="00B12E22">
            <w:pPr>
              <w:jc w:val="center"/>
              <w:rPr>
                <w:b/>
                <w:color w:val="4472C4" w:themeColor="accent5"/>
              </w:rPr>
            </w:pPr>
            <w:r w:rsidRPr="00651DF3">
              <w:rPr>
                <w:b/>
                <w:color w:val="4472C4" w:themeColor="accent5"/>
              </w:rPr>
              <w:t>PSED and Well Being</w:t>
            </w:r>
          </w:p>
          <w:p w:rsidR="00B12E22" w:rsidRPr="00651DF3" w:rsidRDefault="00B12E22" w:rsidP="00B12E22">
            <w:pPr>
              <w:jc w:val="center"/>
              <w:rPr>
                <w:b/>
                <w:color w:val="4472C4" w:themeColor="accent5"/>
              </w:rPr>
            </w:pPr>
          </w:p>
        </w:tc>
      </w:tr>
      <w:tr w:rsidR="00B12E22" w:rsidTr="00060F46">
        <w:tc>
          <w:tcPr>
            <w:tcW w:w="4508" w:type="dxa"/>
            <w:gridSpan w:val="2"/>
          </w:tcPr>
          <w:p w:rsidR="00B12E22" w:rsidRDefault="00B12E22" w:rsidP="00E84BE9">
            <w:pPr>
              <w:jc w:val="center"/>
              <w:rPr>
                <w:b/>
                <w:color w:val="4472C4" w:themeColor="accent5"/>
              </w:rPr>
            </w:pPr>
          </w:p>
          <w:p w:rsidR="00B12E22" w:rsidRPr="00651DF3" w:rsidRDefault="00B12E22" w:rsidP="00E84BE9">
            <w:pPr>
              <w:jc w:val="center"/>
              <w:rPr>
                <w:b/>
                <w:color w:val="4472C4" w:themeColor="accent5"/>
              </w:rPr>
            </w:pPr>
            <w:r w:rsidRPr="00651DF3">
              <w:rPr>
                <w:b/>
                <w:color w:val="4472C4" w:themeColor="accent5"/>
              </w:rPr>
              <w:t>Reception Year (YR)</w:t>
            </w:r>
          </w:p>
          <w:p w:rsidR="00B12E22" w:rsidRPr="00651DF3" w:rsidRDefault="00B12E22" w:rsidP="00E84BE9">
            <w:pPr>
              <w:jc w:val="center"/>
              <w:rPr>
                <w:b/>
                <w:color w:val="4472C4" w:themeColor="accent5"/>
              </w:rPr>
            </w:pPr>
          </w:p>
        </w:tc>
        <w:tc>
          <w:tcPr>
            <w:tcW w:w="4508" w:type="dxa"/>
            <w:gridSpan w:val="2"/>
          </w:tcPr>
          <w:p w:rsidR="00B12E22" w:rsidRDefault="00B12E22" w:rsidP="00B12E22">
            <w:pPr>
              <w:jc w:val="center"/>
              <w:rPr>
                <w:b/>
                <w:color w:val="4472C4" w:themeColor="accent5"/>
              </w:rPr>
            </w:pPr>
          </w:p>
          <w:p w:rsidR="00B12E22" w:rsidRPr="00651DF3" w:rsidRDefault="00B12E22" w:rsidP="00B12E22">
            <w:pPr>
              <w:jc w:val="center"/>
              <w:rPr>
                <w:b/>
                <w:color w:val="4472C4" w:themeColor="accent5"/>
              </w:rPr>
            </w:pPr>
            <w:r w:rsidRPr="00651DF3">
              <w:rPr>
                <w:b/>
                <w:color w:val="4472C4" w:themeColor="accent5"/>
              </w:rPr>
              <w:t>Physical Development</w:t>
            </w:r>
            <w:r w:rsidRPr="00651DF3">
              <w:rPr>
                <w:b/>
                <w:color w:val="4472C4" w:themeColor="accent5"/>
              </w:rPr>
              <w:t xml:space="preserve"> and Health</w:t>
            </w:r>
          </w:p>
        </w:tc>
      </w:tr>
    </w:tbl>
    <w:p w:rsidR="00096189" w:rsidRDefault="00096189" w:rsidP="00E84BE9"/>
    <w:p w:rsidR="00096189" w:rsidRDefault="003F1680" w:rsidP="00E84BE9">
      <w:r>
        <w:t xml:space="preserve">Please consider </w:t>
      </w:r>
      <w:r w:rsidR="00096189">
        <w:t>to which of these areas you can bring expertise when applying.</w:t>
      </w:r>
    </w:p>
    <w:p w:rsidR="00096189" w:rsidRPr="00096189" w:rsidRDefault="00096189" w:rsidP="00E84BE9">
      <w:pPr>
        <w:rPr>
          <w:b/>
        </w:rPr>
      </w:pPr>
      <w:r w:rsidRPr="00096189">
        <w:rPr>
          <w:b/>
        </w:rPr>
        <w:t>Deployment of Local Specialist Leaders</w:t>
      </w:r>
    </w:p>
    <w:p w:rsidR="00096189" w:rsidRDefault="00096189" w:rsidP="00E84BE9">
      <w:r>
        <w:lastRenderedPageBreak/>
        <w:t xml:space="preserve">Paid LSLs support can be requested from any school or setting locally and nationally. </w:t>
      </w:r>
      <w:r w:rsidR="00A831ED">
        <w:t>However,</w:t>
      </w:r>
      <w:r>
        <w:t xml:space="preserve"> our Early Year Hub is fortunate enough to be commissioned by Bristol Local Authority to provide support for quality improvement in our sector, and </w:t>
      </w:r>
      <w:r w:rsidR="003F1680">
        <w:t xml:space="preserve">as a result </w:t>
      </w:r>
      <w:r>
        <w:t xml:space="preserve">of this </w:t>
      </w:r>
      <w:r w:rsidR="003F1680">
        <w:t xml:space="preserve">model </w:t>
      </w:r>
      <w:r>
        <w:t>most of our LSLs will be actively deployed.</w:t>
      </w:r>
    </w:p>
    <w:p w:rsidR="00096189" w:rsidRDefault="00096189" w:rsidP="00E84BE9">
      <w:r>
        <w:t>Deployment can range from one off visits to schools or setting</w:t>
      </w:r>
      <w:r w:rsidR="003F1680">
        <w:t>,</w:t>
      </w:r>
      <w:r>
        <w:t xml:space="preserve"> or fortnightly visits over a few months. Because of this it is important to ensure you </w:t>
      </w:r>
      <w:r w:rsidR="00A831ED">
        <w:t>have</w:t>
      </w:r>
      <w:r>
        <w:t xml:space="preserve"> capacity to fulfil the role of LSL, and the support of your Manager/</w:t>
      </w:r>
      <w:proofErr w:type="spellStart"/>
      <w:r>
        <w:t>Headteacher</w:t>
      </w:r>
      <w:proofErr w:type="spellEnd"/>
      <w:r w:rsidR="000E3D5F">
        <w:t>/</w:t>
      </w:r>
      <w:r>
        <w:t>.</w:t>
      </w:r>
      <w:r w:rsidR="00A831ED">
        <w:t xml:space="preserve"> It goes without saying that we will only ever request you to work on deployments that match your </w:t>
      </w:r>
      <w:r w:rsidR="003F1680">
        <w:t xml:space="preserve">skills and </w:t>
      </w:r>
      <w:r w:rsidR="00A831ED">
        <w:t>capacity.</w:t>
      </w:r>
    </w:p>
    <w:p w:rsidR="00A831ED" w:rsidRDefault="00B36401" w:rsidP="00E84BE9">
      <w:r>
        <w:t>Payments will</w:t>
      </w:r>
      <w:r w:rsidR="00A831ED">
        <w:t xml:space="preserve"> be made to your home school or setting</w:t>
      </w:r>
      <w:r w:rsidR="003F1680">
        <w:t>, to cover the time you spend of LSL deployments,</w:t>
      </w:r>
      <w:r w:rsidR="00A831ED">
        <w:t xml:space="preserve"> and in some cases part time systems leaders may claim overtime at their school/setting, which is also reimbursed.</w:t>
      </w:r>
    </w:p>
    <w:p w:rsidR="00FB2518" w:rsidRDefault="00A831ED">
      <w:pPr>
        <w:rPr>
          <w:b/>
        </w:rPr>
      </w:pPr>
      <w:r>
        <w:rPr>
          <w:b/>
        </w:rPr>
        <w:t>Application Process</w:t>
      </w:r>
    </w:p>
    <w:p w:rsidR="003F1680" w:rsidRPr="003F1680" w:rsidRDefault="003F1680">
      <w:r w:rsidRPr="003F1680">
        <w:t>Please use the LSL Application form attached.</w:t>
      </w:r>
    </w:p>
    <w:p w:rsidR="00A831ED" w:rsidRDefault="00A831ED">
      <w:r>
        <w:t>Application to become an Early Years Local Specialist Leader must include:</w:t>
      </w:r>
    </w:p>
    <w:p w:rsidR="00A831ED" w:rsidRDefault="00A831ED" w:rsidP="00A831ED">
      <w:pPr>
        <w:pStyle w:val="ListParagraph"/>
        <w:numPr>
          <w:ilvl w:val="0"/>
          <w:numId w:val="1"/>
        </w:numPr>
      </w:pPr>
      <w:r>
        <w:t>Our completed application form</w:t>
      </w:r>
    </w:p>
    <w:p w:rsidR="00A831ED" w:rsidRDefault="00A831ED" w:rsidP="00A831ED">
      <w:pPr>
        <w:pStyle w:val="ListParagraph"/>
        <w:numPr>
          <w:ilvl w:val="0"/>
          <w:numId w:val="1"/>
        </w:numPr>
      </w:pPr>
      <w:r>
        <w:t>Reference from Manager/</w:t>
      </w:r>
      <w:proofErr w:type="spellStart"/>
      <w:r>
        <w:t>Headteacher</w:t>
      </w:r>
      <w:proofErr w:type="spellEnd"/>
      <w:r w:rsidR="000E3D5F">
        <w:t xml:space="preserve">, or LA Area </w:t>
      </w:r>
      <w:r w:rsidR="00B64C83">
        <w:t>consultant if</w:t>
      </w:r>
      <w:r w:rsidR="000E3D5F">
        <w:t xml:space="preserve"> you are self-employed as a childminder</w:t>
      </w:r>
    </w:p>
    <w:p w:rsidR="000E3D5F" w:rsidRPr="00285ED3" w:rsidRDefault="00A831ED" w:rsidP="00A831ED">
      <w:pPr>
        <w:rPr>
          <w:b/>
        </w:rPr>
      </w:pPr>
      <w:r w:rsidRPr="00285ED3">
        <w:rPr>
          <w:b/>
        </w:rPr>
        <w:t>Applications must be submitted by Monday 28</w:t>
      </w:r>
      <w:r w:rsidRPr="00285ED3">
        <w:rPr>
          <w:b/>
          <w:vertAlign w:val="superscript"/>
        </w:rPr>
        <w:t>th</w:t>
      </w:r>
      <w:r w:rsidRPr="00285ED3">
        <w:rPr>
          <w:b/>
        </w:rPr>
        <w:t xml:space="preserve"> February 2022</w:t>
      </w:r>
      <w:r w:rsidR="000E3D5F" w:rsidRPr="00285ED3">
        <w:rPr>
          <w:b/>
        </w:rPr>
        <w:t xml:space="preserve"> to the EYs Teaching Hub administrator :  </w:t>
      </w:r>
      <w:hyperlink r:id="rId6" w:history="1">
        <w:r w:rsidR="000E3D5F" w:rsidRPr="00285ED3">
          <w:rPr>
            <w:rStyle w:val="Hyperlink"/>
            <w:b/>
          </w:rPr>
          <w:t>anna.kawar@bristol-schools.uk</w:t>
        </w:r>
      </w:hyperlink>
    </w:p>
    <w:p w:rsidR="00FB2518" w:rsidRPr="00A831ED" w:rsidRDefault="00D33CF9">
      <w:r>
        <w:t xml:space="preserve">We </w:t>
      </w:r>
      <w:r w:rsidR="000E3D5F">
        <w:t>aim for interviews to</w:t>
      </w:r>
      <w:r w:rsidR="00A831ED">
        <w:t xml:space="preserve"> take place during the week of March 7</w:t>
      </w:r>
      <w:r w:rsidR="00A831ED" w:rsidRPr="00A831ED">
        <w:rPr>
          <w:vertAlign w:val="superscript"/>
        </w:rPr>
        <w:t>th</w:t>
      </w:r>
      <w:r w:rsidR="00A831ED">
        <w:t xml:space="preserve"> 2022</w:t>
      </w:r>
      <w:r w:rsidR="00285ED3">
        <w:t>.</w:t>
      </w:r>
    </w:p>
    <w:p w:rsidR="00FB2518" w:rsidRDefault="003F1680">
      <w:r>
        <w:t xml:space="preserve">If you have any further queries about the role of application process please contact me directly on </w:t>
      </w:r>
      <w:hyperlink r:id="rId7" w:history="1">
        <w:r w:rsidRPr="00F10F30">
          <w:rPr>
            <w:rStyle w:val="Hyperlink"/>
          </w:rPr>
          <w:t>lucy.driver@bristol-school.uk</w:t>
        </w:r>
      </w:hyperlink>
      <w:r>
        <w:t>.</w:t>
      </w:r>
    </w:p>
    <w:p w:rsidR="003F1680" w:rsidRDefault="003F1680">
      <w:r>
        <w:t>I look forward to receiving applications from ambitious and experienced leaders who have the drive to work beyond their school/setting, get involved in the sector at a strategic level, and improve the lives and experiences for all of Bristol’s youngest learners.</w:t>
      </w:r>
    </w:p>
    <w:p w:rsidR="003F1680" w:rsidRDefault="003F1680"/>
    <w:p w:rsidR="003F1680" w:rsidRDefault="003F1680">
      <w:r>
        <w:t>Kind Regards</w:t>
      </w:r>
    </w:p>
    <w:p w:rsidR="003F1680" w:rsidRDefault="003F1680"/>
    <w:p w:rsidR="003F1680" w:rsidRDefault="003F1680" w:rsidP="003F1680">
      <w:pPr>
        <w:rPr>
          <w:rFonts w:ascii="Brush Script MT" w:hAnsi="Brush Script MT"/>
          <w:sz w:val="36"/>
          <w:szCs w:val="36"/>
          <w:lang w:eastAsia="en-GB"/>
        </w:rPr>
      </w:pPr>
      <w:r>
        <w:rPr>
          <w:rFonts w:ascii="Brush Script MT" w:hAnsi="Brush Script MT"/>
          <w:sz w:val="36"/>
          <w:szCs w:val="36"/>
          <w:lang w:eastAsia="en-GB"/>
        </w:rPr>
        <w:t>Lucy Driver</w:t>
      </w:r>
    </w:p>
    <w:p w:rsidR="003F1680" w:rsidRDefault="003F1680" w:rsidP="003F1680">
      <w:pPr>
        <w:rPr>
          <w:rFonts w:ascii="Calibri" w:hAnsi="Calibri"/>
          <w:b/>
          <w:bCs/>
          <w:sz w:val="24"/>
          <w:szCs w:val="24"/>
          <w:lang w:eastAsia="en-GB"/>
        </w:rPr>
      </w:pPr>
      <w:proofErr w:type="spellStart"/>
      <w:r>
        <w:rPr>
          <w:b/>
          <w:bCs/>
          <w:sz w:val="24"/>
          <w:szCs w:val="24"/>
          <w:lang w:eastAsia="en-GB"/>
        </w:rPr>
        <w:t>Headteacher</w:t>
      </w:r>
      <w:proofErr w:type="spellEnd"/>
      <w:r>
        <w:rPr>
          <w:b/>
          <w:bCs/>
          <w:sz w:val="24"/>
          <w:szCs w:val="24"/>
          <w:lang w:eastAsia="en-GB"/>
        </w:rPr>
        <w:t xml:space="preserve"> &amp; National Leader of Education.</w:t>
      </w:r>
    </w:p>
    <w:p w:rsidR="003F1680" w:rsidRDefault="003F1680" w:rsidP="003F1680">
      <w:pPr>
        <w:rPr>
          <w:lang w:eastAsia="en-GB"/>
        </w:rPr>
      </w:pPr>
    </w:p>
    <w:p w:rsidR="003F1680" w:rsidRDefault="003F1680" w:rsidP="003F1680">
      <w:pPr>
        <w:rPr>
          <w:i/>
          <w:iCs/>
          <w:lang w:eastAsia="en-GB"/>
        </w:rPr>
      </w:pPr>
      <w:r>
        <w:rPr>
          <w:i/>
          <w:iCs/>
          <w:lang w:eastAsia="en-GB"/>
        </w:rPr>
        <w:t>St Pauls Nursery School &amp; Central Bristol Children’s Centre and Bristol Early Years Teaching School Alliance.</w:t>
      </w:r>
      <w:r w:rsidR="00EE7D64" w:rsidRPr="00EE7D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F1680" w:rsidRDefault="003F1680" w:rsidP="003F1680">
      <w:pPr>
        <w:rPr>
          <w:i/>
          <w:iCs/>
          <w:lang w:eastAsia="en-GB"/>
        </w:rPr>
      </w:pPr>
    </w:p>
    <w:p w:rsidR="003F1680" w:rsidRDefault="00EE7D64" w:rsidP="003F1680">
      <w:pPr>
        <w:rPr>
          <w:lang w:eastAsia="en-GB"/>
        </w:rPr>
      </w:pPr>
      <w:r w:rsidRPr="00EE7D64">
        <w:rPr>
          <w:i/>
          <w:iCs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2BCD69C6" wp14:editId="025FA753">
            <wp:simplePos x="0" y="0"/>
            <wp:positionH relativeFrom="margin">
              <wp:posOffset>2714625</wp:posOffset>
            </wp:positionH>
            <wp:positionV relativeFrom="margin">
              <wp:posOffset>7590155</wp:posOffset>
            </wp:positionV>
            <wp:extent cx="1076960" cy="731520"/>
            <wp:effectExtent l="0" t="0" r="8890" b="0"/>
            <wp:wrapSquare wrapText="bothSides"/>
            <wp:docPr id="2" name="Picture 2" descr="Z:\My Pictures\images\Bristol Early Years Teaching Hub Logo - White 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y Pictures\images\Bristol Early Years Teaching Hub Logo - White B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3CF9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B46D9E3" wp14:editId="1821D147">
            <wp:simplePos x="0" y="0"/>
            <wp:positionH relativeFrom="margin">
              <wp:posOffset>66675</wp:posOffset>
            </wp:positionH>
            <wp:positionV relativeFrom="margin">
              <wp:posOffset>7591425</wp:posOffset>
            </wp:positionV>
            <wp:extent cx="1162050" cy="876300"/>
            <wp:effectExtent l="0" t="0" r="0" b="0"/>
            <wp:wrapSquare wrapText="bothSides"/>
            <wp:docPr id="4" name="Picture 4" descr="cid:image003.png@01D50EFC.7154D4B0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50EFC.7154D4B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3CF9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466555A" wp14:editId="44E53F41">
            <wp:simplePos x="0" y="0"/>
            <wp:positionH relativeFrom="margin">
              <wp:posOffset>1531620</wp:posOffset>
            </wp:positionH>
            <wp:positionV relativeFrom="margin">
              <wp:posOffset>7588250</wp:posOffset>
            </wp:positionV>
            <wp:extent cx="820420" cy="82740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CC 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1680" w:rsidRDefault="003F1680" w:rsidP="003F1680"/>
    <w:p w:rsidR="003F1680" w:rsidRDefault="003F1680" w:rsidP="003F1680">
      <w:pPr>
        <w:rPr>
          <w:i/>
          <w:iCs/>
          <w:lang w:eastAsia="en-GB"/>
        </w:rPr>
      </w:pPr>
    </w:p>
    <w:p w:rsidR="00FB2518" w:rsidRDefault="00FB2518"/>
    <w:sectPr w:rsidR="00FB2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C193E"/>
    <w:multiLevelType w:val="hybridMultilevel"/>
    <w:tmpl w:val="CF4632D4"/>
    <w:lvl w:ilvl="0" w:tplc="5C966CC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18"/>
    <w:rsid w:val="000005B7"/>
    <w:rsid w:val="000040C9"/>
    <w:rsid w:val="00096189"/>
    <w:rsid w:val="000E3D5F"/>
    <w:rsid w:val="00285ED3"/>
    <w:rsid w:val="003F1680"/>
    <w:rsid w:val="00651DF3"/>
    <w:rsid w:val="00A1594F"/>
    <w:rsid w:val="00A831ED"/>
    <w:rsid w:val="00B12E22"/>
    <w:rsid w:val="00B36401"/>
    <w:rsid w:val="00B64C83"/>
    <w:rsid w:val="00C5781E"/>
    <w:rsid w:val="00CF244C"/>
    <w:rsid w:val="00D33CF9"/>
    <w:rsid w:val="00E84BE9"/>
    <w:rsid w:val="00EE7D64"/>
    <w:rsid w:val="00FB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C1031"/>
  <w15:chartTrackingRefBased/>
  <w15:docId w15:val="{EB33B09E-3C98-425B-95D1-E054AABC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518"/>
    <w:pPr>
      <w:ind w:left="720"/>
      <w:contextualSpacing/>
    </w:pPr>
  </w:style>
  <w:style w:type="table" w:styleId="TableGrid">
    <w:name w:val="Table Grid"/>
    <w:basedOn w:val="TableNormal"/>
    <w:uiPriority w:val="39"/>
    <w:rsid w:val="00E84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6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cy.driver@bristol-school.uk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kawar@bristol-schools.uk" TargetMode="External"/><Relationship Id="rId11" Type="http://schemas.openxmlformats.org/officeDocument/2006/relationships/image" Target="cid:image001.png@01D81101.D5703610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stpaulschildrenscentre.co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2940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Driver</dc:creator>
  <cp:keywords/>
  <dc:description/>
  <cp:lastModifiedBy>Lucy Driver</cp:lastModifiedBy>
  <cp:revision>8</cp:revision>
  <dcterms:created xsi:type="dcterms:W3CDTF">2022-01-24T09:39:00Z</dcterms:created>
  <dcterms:modified xsi:type="dcterms:W3CDTF">2022-02-01T12:30:00Z</dcterms:modified>
</cp:coreProperties>
</file>