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E18D7" w:rsidP="009E34EC" w:rsidRDefault="005E18D7" w14:paraId="24A6017E" w14:textId="396D1B6D">
      <w:pPr>
        <w:tabs>
          <w:tab w:val="center" w:pos="7583"/>
          <w:tab w:val="left" w:pos="12570"/>
        </w:tabs>
        <w:rPr>
          <w:b/>
          <w:bCs/>
          <w:sz w:val="40"/>
          <w:szCs w:val="40"/>
        </w:rPr>
      </w:pPr>
      <w:r>
        <w:rPr>
          <w:noProof/>
        </w:rPr>
        <w:drawing>
          <wp:anchor distT="0" distB="0" distL="114300" distR="114300" simplePos="0" relativeHeight="251658240" behindDoc="0" locked="0" layoutInCell="1" allowOverlap="1" wp14:anchorId="568929AC" wp14:editId="3DB72A6F">
            <wp:simplePos x="0" y="0"/>
            <wp:positionH relativeFrom="margin">
              <wp:posOffset>-127000</wp:posOffset>
            </wp:positionH>
            <wp:positionV relativeFrom="paragraph">
              <wp:posOffset>-360143</wp:posOffset>
            </wp:positionV>
            <wp:extent cx="1574800" cy="857250"/>
            <wp:effectExtent l="0" t="0" r="6350" b="0"/>
            <wp:wrapNone/>
            <wp:docPr id="1" name="Picture 1" descr="A red and white logo with a boat and cas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 with a boat and cast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4800" cy="857250"/>
                    </a:xfrm>
                    <a:prstGeom prst="rect">
                      <a:avLst/>
                    </a:prstGeom>
                    <a:noFill/>
                    <a:ln>
                      <a:noFill/>
                    </a:ln>
                  </pic:spPr>
                </pic:pic>
              </a:graphicData>
            </a:graphic>
            <wp14:sizeRelV relativeFrom="margin">
              <wp14:pctHeight>0</wp14:pctHeight>
            </wp14:sizeRelV>
          </wp:anchor>
        </w:drawing>
      </w:r>
    </w:p>
    <w:p w:rsidRPr="005E18D7" w:rsidR="009E34EC" w:rsidP="005E18D7" w:rsidRDefault="00DD79DA" w14:paraId="0C8D7982" w14:textId="0075034A">
      <w:pPr>
        <w:tabs>
          <w:tab w:val="center" w:pos="7583"/>
          <w:tab w:val="left" w:pos="12570"/>
        </w:tabs>
        <w:jc w:val="center"/>
        <w:rPr>
          <w:b/>
          <w:bCs/>
          <w:sz w:val="40"/>
          <w:szCs w:val="40"/>
        </w:rPr>
      </w:pPr>
      <w:r w:rsidRPr="00DD79DA">
        <w:rPr>
          <w:b/>
          <w:bCs/>
          <w:sz w:val="40"/>
          <w:szCs w:val="40"/>
        </w:rPr>
        <w:t xml:space="preserve">Self-evaluation </w:t>
      </w:r>
      <w:r w:rsidR="00E75C78">
        <w:rPr>
          <w:b/>
          <w:bCs/>
          <w:sz w:val="40"/>
          <w:szCs w:val="40"/>
        </w:rPr>
        <w:t>f</w:t>
      </w:r>
      <w:r w:rsidRPr="00DD79DA">
        <w:rPr>
          <w:b/>
          <w:bCs/>
          <w:sz w:val="40"/>
          <w:szCs w:val="40"/>
        </w:rPr>
        <w:t>ramework (SEF)</w:t>
      </w:r>
      <w:r w:rsidR="00E80A9E">
        <w:rPr>
          <w:b/>
          <w:bCs/>
          <w:sz w:val="40"/>
          <w:szCs w:val="40"/>
        </w:rPr>
        <w:t xml:space="preserve"> </w:t>
      </w:r>
      <w:r w:rsidR="00AB1645">
        <w:rPr>
          <w:b/>
          <w:bCs/>
          <w:sz w:val="40"/>
          <w:szCs w:val="40"/>
        </w:rPr>
        <w:t>for registered early years providers</w:t>
      </w:r>
    </w:p>
    <w:p w:rsidR="00B3325C" w:rsidRDefault="00DD79DA" w14:paraId="3FBA0E17" w14:textId="42E9B592">
      <w:pPr>
        <w:rPr>
          <w:b/>
          <w:bCs/>
        </w:rPr>
      </w:pPr>
      <w:r w:rsidRPr="00343CAE">
        <w:rPr>
          <w:b/>
          <w:bCs/>
        </w:rPr>
        <w:t>S</w:t>
      </w:r>
      <w:r w:rsidR="00AC6287">
        <w:rPr>
          <w:b/>
          <w:bCs/>
        </w:rPr>
        <w:t>etting</w:t>
      </w:r>
      <w:r w:rsidRPr="00343CAE" w:rsidR="008C4BC1">
        <w:rPr>
          <w:b/>
          <w:bCs/>
        </w:rPr>
        <w:t>:</w:t>
      </w:r>
    </w:p>
    <w:p w:rsidRPr="00343CAE" w:rsidR="005E18D7" w:rsidRDefault="005E18D7" w14:paraId="754D498D" w14:textId="77777777">
      <w:pPr>
        <w:rPr>
          <w:b/>
          <w:bCs/>
        </w:rPr>
      </w:pPr>
    </w:p>
    <w:tbl>
      <w:tblPr>
        <w:tblStyle w:val="TableGrid"/>
        <w:tblW w:w="0" w:type="auto"/>
        <w:tblLook w:val="04A0" w:firstRow="1" w:lastRow="0" w:firstColumn="1" w:lastColumn="0" w:noHBand="0" w:noVBand="1"/>
      </w:tblPr>
      <w:tblGrid>
        <w:gridCol w:w="15157"/>
      </w:tblGrid>
      <w:tr w:rsidR="00F4455E" w:rsidTr="7D6851D7" w14:paraId="3122C72E" w14:textId="77777777">
        <w:tc>
          <w:tcPr>
            <w:tcW w:w="15157" w:type="dxa"/>
            <w:tcMar/>
          </w:tcPr>
          <w:p w:rsidR="00F4455E" w:rsidRDefault="00F4455E" w14:paraId="2BE4387A" w14:textId="0C8EBBB9">
            <w:pPr>
              <w:rPr>
                <w:b w:val="1"/>
                <w:bCs w:val="1"/>
              </w:rPr>
            </w:pPr>
            <w:r w:rsidRPr="7D6851D7" w:rsidR="00F4455E">
              <w:rPr>
                <w:b w:val="1"/>
                <w:bCs w:val="1"/>
              </w:rPr>
              <w:t>C</w:t>
            </w:r>
            <w:r w:rsidRPr="7D6851D7" w:rsidR="00F4455E">
              <w:rPr>
                <w:b w:val="1"/>
                <w:bCs w:val="1"/>
              </w:rPr>
              <w:t>ontex</w:t>
            </w:r>
            <w:r w:rsidRPr="7D6851D7" w:rsidR="00F4455E">
              <w:rPr>
                <w:b w:val="1"/>
                <w:bCs w:val="1"/>
              </w:rPr>
              <w:t>t</w:t>
            </w:r>
            <w:r w:rsidRPr="7D6851D7" w:rsidR="00F4455E">
              <w:rPr>
                <w:b w:val="1"/>
                <w:bCs w:val="1"/>
              </w:rPr>
              <w:t>:</w:t>
            </w:r>
            <w:r w:rsidRPr="7D6851D7" w:rsidR="2712A296">
              <w:rPr>
                <w:b w:val="1"/>
                <w:bCs w:val="1"/>
              </w:rPr>
              <w:t xml:space="preserve"> (deprivation, EYPP, SEND, ward GLD and Health data, community) </w:t>
            </w:r>
          </w:p>
          <w:p w:rsidR="00F4455E" w:rsidRDefault="00F4455E" w14:paraId="4CAC0E75" w14:textId="77777777">
            <w:pPr>
              <w:rPr>
                <w:b/>
                <w:bCs/>
              </w:rPr>
            </w:pPr>
          </w:p>
          <w:p w:rsidR="00F4455E" w:rsidRDefault="00F4455E" w14:paraId="6432F0EB" w14:textId="77777777">
            <w:pPr>
              <w:rPr>
                <w:b/>
                <w:bCs/>
              </w:rPr>
            </w:pPr>
          </w:p>
          <w:p w:rsidR="00F81287" w:rsidRDefault="00F81287" w14:paraId="777A7D38" w14:textId="52B8D349">
            <w:pPr>
              <w:rPr>
                <w:b/>
                <w:bCs/>
              </w:rPr>
            </w:pPr>
          </w:p>
        </w:tc>
      </w:tr>
    </w:tbl>
    <w:p w:rsidR="00B3325C" w:rsidRDefault="00B3325C" w14:paraId="13BAD728" w14:textId="252B8ACC">
      <w:pPr>
        <w:rPr>
          <w:b/>
          <w:bCs/>
        </w:rPr>
      </w:pPr>
    </w:p>
    <w:tbl>
      <w:tblPr>
        <w:tblStyle w:val="TableGrid"/>
        <w:tblW w:w="0" w:type="auto"/>
        <w:tblLook w:val="04A0" w:firstRow="1" w:lastRow="0" w:firstColumn="1" w:lastColumn="0" w:noHBand="0" w:noVBand="1"/>
      </w:tblPr>
      <w:tblGrid>
        <w:gridCol w:w="15157"/>
      </w:tblGrid>
      <w:tr w:rsidR="00F81287" w:rsidTr="00F81287" w14:paraId="0574DA35" w14:textId="77777777">
        <w:tc>
          <w:tcPr>
            <w:tcW w:w="15157" w:type="dxa"/>
          </w:tcPr>
          <w:p w:rsidR="00F81287" w:rsidRDefault="00F81287" w14:paraId="0DEA1EF6" w14:textId="1278718E">
            <w:pPr>
              <w:rPr>
                <w:b/>
                <w:bCs/>
              </w:rPr>
            </w:pPr>
            <w:r>
              <w:rPr>
                <w:b/>
                <w:bCs/>
              </w:rPr>
              <w:t>S</w:t>
            </w:r>
            <w:r w:rsidRPr="00343CAE">
              <w:rPr>
                <w:b/>
                <w:bCs/>
              </w:rPr>
              <w:t>taffing structure:</w:t>
            </w:r>
          </w:p>
          <w:p w:rsidR="00F81287" w:rsidRDefault="00F81287" w14:paraId="00CD93E4" w14:textId="77777777">
            <w:pPr>
              <w:rPr>
                <w:b/>
                <w:bCs/>
              </w:rPr>
            </w:pPr>
          </w:p>
          <w:p w:rsidR="00F81287" w:rsidRDefault="00F81287" w14:paraId="6A8223D2" w14:textId="77777777">
            <w:pPr>
              <w:rPr>
                <w:b/>
                <w:bCs/>
              </w:rPr>
            </w:pPr>
          </w:p>
          <w:p w:rsidR="00F81287" w:rsidRDefault="00F81287" w14:paraId="001374CF" w14:textId="77777777">
            <w:pPr>
              <w:rPr>
                <w:b/>
                <w:bCs/>
              </w:rPr>
            </w:pPr>
          </w:p>
        </w:tc>
      </w:tr>
    </w:tbl>
    <w:p w:rsidRPr="00343CAE" w:rsidR="00BA05A5" w:rsidRDefault="00BA05A5" w14:paraId="3081E598" w14:textId="43EB07F1">
      <w:pPr>
        <w:rPr>
          <w:b/>
          <w:bCs/>
        </w:rPr>
      </w:pPr>
    </w:p>
    <w:tbl>
      <w:tblPr>
        <w:tblStyle w:val="TableGrid"/>
        <w:tblW w:w="0" w:type="auto"/>
        <w:tblLook w:val="04A0" w:firstRow="1" w:lastRow="0" w:firstColumn="1" w:lastColumn="0" w:noHBand="0" w:noVBand="1"/>
      </w:tblPr>
      <w:tblGrid>
        <w:gridCol w:w="15157"/>
      </w:tblGrid>
      <w:tr w:rsidR="00F81287" w:rsidTr="00F81287" w14:paraId="30B5751B" w14:textId="77777777">
        <w:tc>
          <w:tcPr>
            <w:tcW w:w="15157" w:type="dxa"/>
          </w:tcPr>
          <w:p w:rsidR="00F81287" w:rsidRDefault="00F81287" w14:paraId="5FF7167D" w14:textId="77777777">
            <w:pPr>
              <w:rPr>
                <w:b/>
                <w:bCs/>
              </w:rPr>
            </w:pPr>
            <w:r w:rsidRPr="00343CAE">
              <w:rPr>
                <w:b/>
                <w:bCs/>
              </w:rPr>
              <w:t>Updates since the last Ofsted Inspection</w:t>
            </w:r>
            <w:r>
              <w:rPr>
                <w:b/>
                <w:bCs/>
              </w:rPr>
              <w:t xml:space="preserve"> including in relation to identified next steps</w:t>
            </w:r>
            <w:r w:rsidRPr="00343CAE">
              <w:rPr>
                <w:b/>
                <w:bCs/>
              </w:rPr>
              <w:t>:</w:t>
            </w:r>
          </w:p>
          <w:p w:rsidR="00F81287" w:rsidRDefault="00F81287" w14:paraId="58529D3A" w14:textId="77777777">
            <w:pPr>
              <w:rPr>
                <w:b/>
                <w:bCs/>
              </w:rPr>
            </w:pPr>
          </w:p>
          <w:p w:rsidR="00F81287" w:rsidRDefault="00F81287" w14:paraId="707F5019" w14:textId="77777777">
            <w:pPr>
              <w:rPr>
                <w:b/>
                <w:bCs/>
              </w:rPr>
            </w:pPr>
          </w:p>
          <w:p w:rsidR="00F81287" w:rsidRDefault="00F81287" w14:paraId="2DC9C5C9" w14:textId="4C6D5E0B">
            <w:pPr>
              <w:rPr>
                <w:b/>
                <w:bCs/>
              </w:rPr>
            </w:pPr>
          </w:p>
        </w:tc>
      </w:tr>
    </w:tbl>
    <w:p w:rsidR="00BA05A5" w:rsidRDefault="00BA05A5" w14:paraId="76262EC9" w14:textId="0D94242E">
      <w:pPr>
        <w:rPr>
          <w:b/>
          <w:bCs/>
        </w:rPr>
      </w:pPr>
    </w:p>
    <w:tbl>
      <w:tblPr>
        <w:tblStyle w:val="TableGrid"/>
        <w:tblW w:w="0" w:type="auto"/>
        <w:tblLook w:val="04A0" w:firstRow="1" w:lastRow="0" w:firstColumn="1" w:lastColumn="0" w:noHBand="0" w:noVBand="1"/>
      </w:tblPr>
      <w:tblGrid>
        <w:gridCol w:w="15157"/>
      </w:tblGrid>
      <w:tr w:rsidR="00F81287" w:rsidTr="00F81287" w14:paraId="1720C40E" w14:textId="77777777">
        <w:tc>
          <w:tcPr>
            <w:tcW w:w="15157" w:type="dxa"/>
          </w:tcPr>
          <w:p w:rsidR="00F81287" w:rsidRDefault="00F81287" w14:paraId="69D5703E" w14:textId="6E5BB7D8">
            <w:pPr>
              <w:rPr>
                <w:b/>
                <w:bCs/>
              </w:rPr>
            </w:pPr>
            <w:r w:rsidRPr="00343CAE">
              <w:rPr>
                <w:b/>
                <w:bCs/>
              </w:rPr>
              <w:t>Current challenges:</w:t>
            </w:r>
          </w:p>
          <w:p w:rsidR="00F81287" w:rsidRDefault="00F81287" w14:paraId="79C82E2D" w14:textId="77777777">
            <w:pPr>
              <w:rPr>
                <w:b/>
                <w:bCs/>
              </w:rPr>
            </w:pPr>
          </w:p>
          <w:p w:rsidR="00F81287" w:rsidRDefault="00F81287" w14:paraId="65443EB4" w14:textId="77777777">
            <w:pPr>
              <w:rPr>
                <w:b/>
                <w:bCs/>
              </w:rPr>
            </w:pPr>
          </w:p>
          <w:p w:rsidR="004F6AAF" w:rsidRDefault="004F6AAF" w14:paraId="6A714995" w14:textId="77777777">
            <w:pPr>
              <w:rPr>
                <w:b/>
                <w:bCs/>
              </w:rPr>
            </w:pPr>
          </w:p>
        </w:tc>
      </w:tr>
    </w:tbl>
    <w:p w:rsidR="00343CAE" w:rsidRDefault="00343CAE" w14:paraId="678DFBE6" w14:textId="77777777">
      <w:pPr>
        <w:rPr>
          <w:b/>
          <w:bCs/>
        </w:rPr>
      </w:pPr>
    </w:p>
    <w:tbl>
      <w:tblPr>
        <w:tblStyle w:val="TableGrid"/>
        <w:tblW w:w="0" w:type="auto"/>
        <w:tblLook w:val="04A0" w:firstRow="1" w:lastRow="0" w:firstColumn="1" w:lastColumn="0" w:noHBand="0" w:noVBand="1"/>
      </w:tblPr>
      <w:tblGrid>
        <w:gridCol w:w="15157"/>
      </w:tblGrid>
      <w:tr w:rsidR="004F6AAF" w:rsidTr="004F6AAF" w14:paraId="0912EA90" w14:textId="77777777">
        <w:tc>
          <w:tcPr>
            <w:tcW w:w="15157" w:type="dxa"/>
          </w:tcPr>
          <w:p w:rsidRPr="00343CAE" w:rsidR="004F6AAF" w:rsidP="004F6AAF" w:rsidRDefault="004F6AAF" w14:paraId="00C973CD" w14:textId="77777777">
            <w:pPr>
              <w:rPr>
                <w:b/>
                <w:bCs/>
              </w:rPr>
            </w:pPr>
            <w:r>
              <w:rPr>
                <w:b/>
                <w:bCs/>
              </w:rPr>
              <w:t>Current priorities:</w:t>
            </w:r>
          </w:p>
          <w:p w:rsidR="004F6AAF" w:rsidRDefault="004F6AAF" w14:paraId="6FFF8C82" w14:textId="77777777">
            <w:pPr>
              <w:rPr>
                <w:b/>
                <w:bCs/>
              </w:rPr>
            </w:pPr>
          </w:p>
          <w:p w:rsidR="004F6AAF" w:rsidRDefault="004F6AAF" w14:paraId="53C8A454" w14:textId="77777777">
            <w:pPr>
              <w:rPr>
                <w:b/>
                <w:bCs/>
              </w:rPr>
            </w:pPr>
          </w:p>
          <w:p w:rsidR="004F6AAF" w:rsidRDefault="004F6AAF" w14:paraId="18762FC2" w14:textId="77777777">
            <w:pPr>
              <w:rPr>
                <w:b/>
                <w:bCs/>
              </w:rPr>
            </w:pPr>
          </w:p>
        </w:tc>
      </w:tr>
    </w:tbl>
    <w:p w:rsidR="00B3325C" w:rsidRDefault="00B3325C" w14:paraId="4FD69DA7" w14:textId="77777777"/>
    <w:p w:rsidR="007E6B05" w:rsidRDefault="007E6B05" w14:paraId="75C14D58" w14:textId="77777777"/>
    <w:p w:rsidRPr="002E79C8" w:rsidR="00136A7F" w:rsidRDefault="001D5CC7" w14:paraId="15523166" w14:textId="673AB778">
      <w:pPr>
        <w:rPr>
          <w:rFonts w:ascii="Calibri" w:hAnsi="Calibri" w:cs="Calibri"/>
          <w:b/>
          <w:bCs/>
          <w:sz w:val="28"/>
          <w:szCs w:val="28"/>
        </w:rPr>
      </w:pPr>
      <w:r>
        <w:rPr>
          <w:rFonts w:ascii="Calibri" w:hAnsi="Calibri" w:cs="Calibri"/>
          <w:b/>
          <w:bCs/>
          <w:sz w:val="28"/>
          <w:szCs w:val="28"/>
        </w:rPr>
        <w:t xml:space="preserve">Self-evaluation </w:t>
      </w:r>
      <w:r w:rsidR="00B66D77">
        <w:rPr>
          <w:rFonts w:ascii="Calibri" w:hAnsi="Calibri" w:cs="Calibri"/>
          <w:b/>
          <w:bCs/>
          <w:sz w:val="28"/>
          <w:szCs w:val="28"/>
        </w:rPr>
        <w:t>using</w:t>
      </w:r>
      <w:r>
        <w:rPr>
          <w:rFonts w:ascii="Calibri" w:hAnsi="Calibri" w:cs="Calibri"/>
          <w:b/>
          <w:bCs/>
          <w:sz w:val="28"/>
          <w:szCs w:val="28"/>
        </w:rPr>
        <w:t xml:space="preserve"> the </w:t>
      </w:r>
      <w:r w:rsidR="007B3BF0">
        <w:rPr>
          <w:rFonts w:ascii="Calibri" w:hAnsi="Calibri" w:cs="Calibri"/>
          <w:b/>
          <w:bCs/>
          <w:sz w:val="28"/>
          <w:szCs w:val="28"/>
        </w:rPr>
        <w:t xml:space="preserve">Ofsted </w:t>
      </w:r>
      <w:r w:rsidR="007417E8">
        <w:rPr>
          <w:rFonts w:ascii="Calibri" w:hAnsi="Calibri" w:cs="Calibri"/>
          <w:b/>
          <w:bCs/>
          <w:sz w:val="28"/>
          <w:szCs w:val="28"/>
        </w:rPr>
        <w:t>Early Years</w:t>
      </w:r>
      <w:r w:rsidR="00DF5E0A">
        <w:rPr>
          <w:rFonts w:ascii="Calibri" w:hAnsi="Calibri" w:cs="Calibri"/>
          <w:b/>
          <w:bCs/>
          <w:sz w:val="28"/>
          <w:szCs w:val="28"/>
        </w:rPr>
        <w:t xml:space="preserve"> inspection toolkit:</w:t>
      </w:r>
    </w:p>
    <w:p w:rsidRPr="009A7F80" w:rsidR="009A7F80" w:rsidP="00FC5AFE" w:rsidRDefault="00E37BA9" w14:paraId="47148E91" w14:textId="5EDFD23B">
      <w:pPr>
        <w:pStyle w:val="ListParagraph"/>
        <w:numPr>
          <w:ilvl w:val="0"/>
          <w:numId w:val="20"/>
        </w:numPr>
        <w:ind w:left="360"/>
        <w:rPr>
          <w:rFonts w:ascii="Calibri" w:hAnsi="Calibri" w:cs="Calibri"/>
        </w:rPr>
      </w:pPr>
      <w:r w:rsidRPr="009A7F80">
        <w:rPr>
          <w:rFonts w:ascii="Calibri" w:hAnsi="Calibri" w:cs="Calibri"/>
        </w:rPr>
        <w:t xml:space="preserve">When carrying out your self-evaluation refer </w:t>
      </w:r>
      <w:r w:rsidRPr="009A7F80" w:rsidR="001E60D3">
        <w:rPr>
          <w:rFonts w:ascii="Calibri" w:hAnsi="Calibri" w:cs="Calibri"/>
        </w:rPr>
        <w:t>to the</w:t>
      </w:r>
      <w:r w:rsidR="00BF63D3">
        <w:rPr>
          <w:rFonts w:ascii="Calibri" w:hAnsi="Calibri" w:cs="Calibri"/>
        </w:rPr>
        <w:t xml:space="preserve"> </w:t>
      </w:r>
      <w:hyperlink w:history="1" r:id="rId12">
        <w:r w:rsidRPr="00301873" w:rsidR="00BF63D3">
          <w:rPr>
            <w:color w:val="0000FF"/>
            <w:u w:val="single"/>
          </w:rPr>
          <w:t>Early years inspection toolkit</w:t>
        </w:r>
      </w:hyperlink>
      <w:r w:rsidRPr="0018236B" w:rsidR="0018236B">
        <w:t xml:space="preserve"> </w:t>
      </w:r>
      <w:r w:rsidR="0018236B">
        <w:t>for detail</w:t>
      </w:r>
      <w:r w:rsidR="002D1A82">
        <w:t xml:space="preserve"> on how inspectors will gather evidence in each area</w:t>
      </w:r>
      <w:r w:rsidR="00B41B32">
        <w:t xml:space="preserve">. </w:t>
      </w:r>
    </w:p>
    <w:p w:rsidR="00B51792" w:rsidP="009A7F80" w:rsidRDefault="004913A9" w14:paraId="55B1B2D1" w14:textId="2EBAE83A">
      <w:pPr>
        <w:pStyle w:val="ListParagraph"/>
        <w:numPr>
          <w:ilvl w:val="0"/>
          <w:numId w:val="20"/>
        </w:numPr>
        <w:ind w:left="360"/>
        <w:rPr>
          <w:rFonts w:ascii="Calibri" w:hAnsi="Calibri" w:cs="Calibri"/>
        </w:rPr>
      </w:pPr>
      <w:r w:rsidRPr="009A7F80">
        <w:rPr>
          <w:rFonts w:ascii="Calibri" w:hAnsi="Calibri" w:cs="Calibri"/>
        </w:rPr>
        <w:t>T</w:t>
      </w:r>
      <w:r w:rsidRPr="009A7F80" w:rsidR="006C1E5E">
        <w:rPr>
          <w:rFonts w:ascii="Calibri" w:hAnsi="Calibri" w:cs="Calibri"/>
        </w:rPr>
        <w:t xml:space="preserve">he table below </w:t>
      </w:r>
      <w:r w:rsidRPr="009A7F80">
        <w:rPr>
          <w:rFonts w:ascii="Calibri" w:hAnsi="Calibri" w:cs="Calibri"/>
        </w:rPr>
        <w:t xml:space="preserve">can be used </w:t>
      </w:r>
      <w:r w:rsidRPr="009A7F80" w:rsidR="006C1E5E">
        <w:rPr>
          <w:rFonts w:ascii="Calibri" w:hAnsi="Calibri" w:cs="Calibri"/>
        </w:rPr>
        <w:t>to evaluate how your s</w:t>
      </w:r>
      <w:r w:rsidR="00AC6287">
        <w:rPr>
          <w:rFonts w:ascii="Calibri" w:hAnsi="Calibri" w:cs="Calibri"/>
        </w:rPr>
        <w:t>etting</w:t>
      </w:r>
      <w:r w:rsidRPr="009A7F80" w:rsidR="006C1E5E">
        <w:rPr>
          <w:rFonts w:ascii="Calibri" w:hAnsi="Calibri" w:cs="Calibri"/>
        </w:rPr>
        <w:t xml:space="preserve"> meets the </w:t>
      </w:r>
      <w:r w:rsidR="00EB4F91">
        <w:rPr>
          <w:rFonts w:ascii="Calibri" w:hAnsi="Calibri" w:cs="Calibri"/>
        </w:rPr>
        <w:t>E</w:t>
      </w:r>
      <w:r w:rsidRPr="009A7F80" w:rsidR="006C1E5E">
        <w:rPr>
          <w:rFonts w:ascii="Calibri" w:hAnsi="Calibri" w:cs="Calibri"/>
        </w:rPr>
        <w:t>xpected standards in each area</w:t>
      </w:r>
      <w:r w:rsidRPr="009A7F80" w:rsidR="00B41B32">
        <w:rPr>
          <w:rFonts w:ascii="Calibri" w:hAnsi="Calibri" w:cs="Calibri"/>
        </w:rPr>
        <w:t>,</w:t>
      </w:r>
      <w:r w:rsidRPr="009A7F80" w:rsidR="006C1E5E">
        <w:rPr>
          <w:rFonts w:ascii="Calibri" w:hAnsi="Calibri" w:cs="Calibri"/>
        </w:rPr>
        <w:t xml:space="preserve"> the</w:t>
      </w:r>
      <w:r w:rsidRPr="009A7F80" w:rsidR="004E00CA">
        <w:rPr>
          <w:rFonts w:ascii="Calibri" w:hAnsi="Calibri" w:cs="Calibri"/>
        </w:rPr>
        <w:t xml:space="preserve"> strengths and</w:t>
      </w:r>
      <w:r w:rsidRPr="009A7F80" w:rsidR="006C1E5E">
        <w:rPr>
          <w:rFonts w:ascii="Calibri" w:hAnsi="Calibri" w:cs="Calibri"/>
        </w:rPr>
        <w:t xml:space="preserve"> evidence that you draw upon for this</w:t>
      </w:r>
      <w:r w:rsidRPr="009A7F80" w:rsidR="00B41B32">
        <w:rPr>
          <w:rFonts w:ascii="Calibri" w:hAnsi="Calibri" w:cs="Calibri"/>
        </w:rPr>
        <w:t xml:space="preserve"> and</w:t>
      </w:r>
      <w:r w:rsidRPr="009A7F80" w:rsidR="008410C0">
        <w:rPr>
          <w:rFonts w:ascii="Calibri" w:hAnsi="Calibri" w:cs="Calibri"/>
        </w:rPr>
        <w:t xml:space="preserve"> </w:t>
      </w:r>
      <w:r w:rsidRPr="009A7F80" w:rsidR="002A2394">
        <w:rPr>
          <w:rFonts w:ascii="Calibri" w:hAnsi="Calibri" w:cs="Calibri"/>
        </w:rPr>
        <w:t xml:space="preserve">any </w:t>
      </w:r>
      <w:r w:rsidRPr="009A7F80" w:rsidR="00B60A24">
        <w:rPr>
          <w:rFonts w:ascii="Calibri" w:hAnsi="Calibri" w:cs="Calibri"/>
        </w:rPr>
        <w:t>areas for development</w:t>
      </w:r>
      <w:r w:rsidR="00B51792">
        <w:rPr>
          <w:rFonts w:ascii="Calibri" w:hAnsi="Calibri" w:cs="Calibri"/>
        </w:rPr>
        <w:t xml:space="preserve"> which </w:t>
      </w:r>
      <w:r w:rsidR="00615E0F">
        <w:rPr>
          <w:rFonts w:ascii="Calibri" w:hAnsi="Calibri" w:cs="Calibri"/>
        </w:rPr>
        <w:t xml:space="preserve">will </w:t>
      </w:r>
      <w:r w:rsidR="00B51792">
        <w:rPr>
          <w:rFonts w:ascii="Calibri" w:hAnsi="Calibri" w:cs="Calibri"/>
        </w:rPr>
        <w:t>inform your</w:t>
      </w:r>
      <w:r w:rsidR="00C606C9">
        <w:rPr>
          <w:rFonts w:ascii="Calibri" w:hAnsi="Calibri" w:cs="Calibri"/>
        </w:rPr>
        <w:t xml:space="preserve"> development planning</w:t>
      </w:r>
      <w:r w:rsidRPr="009A7F80" w:rsidR="002A2394">
        <w:rPr>
          <w:rFonts w:ascii="Calibri" w:hAnsi="Calibri" w:cs="Calibri"/>
        </w:rPr>
        <w:t>.</w:t>
      </w:r>
      <w:r w:rsidR="009A7F80">
        <w:rPr>
          <w:rFonts w:ascii="Calibri" w:hAnsi="Calibri" w:cs="Calibri"/>
        </w:rPr>
        <w:t xml:space="preserve"> </w:t>
      </w:r>
    </w:p>
    <w:p w:rsidR="002A2394" w:rsidP="009A7F80" w:rsidRDefault="0096538E" w14:paraId="47EA76EB" w14:textId="6D8BF3A5">
      <w:pPr>
        <w:pStyle w:val="ListParagraph"/>
        <w:numPr>
          <w:ilvl w:val="0"/>
          <w:numId w:val="20"/>
        </w:numPr>
        <w:ind w:left="360"/>
        <w:rPr>
          <w:rFonts w:ascii="Calibri" w:hAnsi="Calibri" w:cs="Calibri"/>
        </w:rPr>
      </w:pPr>
      <w:r w:rsidRPr="009A7F80">
        <w:rPr>
          <w:rFonts w:ascii="Calibri" w:hAnsi="Calibri" w:cs="Calibri"/>
        </w:rPr>
        <w:t xml:space="preserve">If appropriate, repeat the process for the </w:t>
      </w:r>
      <w:r w:rsidR="00500397">
        <w:rPr>
          <w:rFonts w:ascii="Calibri" w:hAnsi="Calibri" w:cs="Calibri"/>
        </w:rPr>
        <w:t xml:space="preserve">standards in the </w:t>
      </w:r>
      <w:r w:rsidR="00EB4F91">
        <w:rPr>
          <w:rFonts w:ascii="Calibri" w:hAnsi="Calibri" w:cs="Calibri"/>
        </w:rPr>
        <w:t>S</w:t>
      </w:r>
      <w:r w:rsidRPr="009A7F80">
        <w:rPr>
          <w:rFonts w:ascii="Calibri" w:hAnsi="Calibri" w:cs="Calibri"/>
        </w:rPr>
        <w:t>trong standard.</w:t>
      </w:r>
    </w:p>
    <w:p w:rsidRPr="009A7F80" w:rsidR="009A7F80" w:rsidP="009A7F80" w:rsidRDefault="009A7F80" w14:paraId="513121AE" w14:textId="425460D0">
      <w:pPr>
        <w:pStyle w:val="ListParagraph"/>
        <w:numPr>
          <w:ilvl w:val="0"/>
          <w:numId w:val="20"/>
        </w:numPr>
        <w:ind w:left="360"/>
        <w:rPr>
          <w:rFonts w:ascii="Calibri" w:hAnsi="Calibri" w:cs="Calibri"/>
        </w:rPr>
      </w:pPr>
      <w:r>
        <w:t xml:space="preserve">Carefully consider the </w:t>
      </w:r>
      <w:r w:rsidR="00EB4F91">
        <w:t>standards and indicators</w:t>
      </w:r>
      <w:r>
        <w:t xml:space="preserve"> for other grades (Needs attention, Urgent </w:t>
      </w:r>
      <w:r w:rsidR="0039474C">
        <w:t xml:space="preserve">improvement &amp; Exceptional) and annotate </w:t>
      </w:r>
      <w:r w:rsidR="00A80DE7">
        <w:t>a copy of the</w:t>
      </w:r>
      <w:r w:rsidR="0039474C">
        <w:t xml:space="preserve"> toolkit where </w:t>
      </w:r>
      <w:r>
        <w:t>necessary</w:t>
      </w:r>
      <w:r w:rsidR="0039474C">
        <w:t>.</w:t>
      </w:r>
    </w:p>
    <w:p w:rsidRPr="00534445" w:rsidR="00EE72C7" w:rsidP="00534445" w:rsidRDefault="00EE72C7" w14:paraId="3089B417" w14:textId="2276DA3B">
      <w:pPr>
        <w:pStyle w:val="ListParagraph"/>
        <w:numPr>
          <w:ilvl w:val="0"/>
          <w:numId w:val="20"/>
        </w:numPr>
        <w:ind w:left="360"/>
        <w:rPr>
          <w:rFonts w:ascii="Calibri" w:hAnsi="Calibri" w:cs="Calibri"/>
        </w:rPr>
      </w:pPr>
      <w:r>
        <w:rPr>
          <w:rFonts w:ascii="Calibri" w:hAnsi="Calibri" w:cs="Calibri"/>
        </w:rPr>
        <w:t>Iden</w:t>
      </w:r>
      <w:r w:rsidR="00765032">
        <w:rPr>
          <w:rFonts w:ascii="Calibri" w:hAnsi="Calibri" w:cs="Calibri"/>
        </w:rPr>
        <w:t>tify</w:t>
      </w:r>
      <w:r>
        <w:rPr>
          <w:rFonts w:ascii="Calibri" w:hAnsi="Calibri" w:cs="Calibri"/>
        </w:rPr>
        <w:t xml:space="preserve"> </w:t>
      </w:r>
      <w:r w:rsidR="00D9419C">
        <w:rPr>
          <w:rFonts w:ascii="Calibri" w:hAnsi="Calibri" w:cs="Calibri"/>
        </w:rPr>
        <w:t>your self-assessment grade for each area</w:t>
      </w:r>
      <w:r w:rsidR="002E7350">
        <w:rPr>
          <w:rFonts w:ascii="Calibri" w:hAnsi="Calibri" w:cs="Calibri"/>
        </w:rPr>
        <w:t>.</w:t>
      </w:r>
    </w:p>
    <w:tbl>
      <w:tblPr>
        <w:tblStyle w:val="TableGrid"/>
        <w:tblW w:w="15163" w:type="dxa"/>
        <w:tblLook w:val="04A0" w:firstRow="1" w:lastRow="0" w:firstColumn="1" w:lastColumn="0" w:noHBand="0" w:noVBand="1"/>
      </w:tblPr>
      <w:tblGrid>
        <w:gridCol w:w="4673"/>
        <w:gridCol w:w="6946"/>
        <w:gridCol w:w="3544"/>
      </w:tblGrid>
      <w:tr w:rsidRPr="00DC3EA1" w:rsidR="00F85043" w:rsidTr="00F0435C" w14:paraId="7B6E662A" w14:textId="7BE5BC1D">
        <w:tc>
          <w:tcPr>
            <w:tcW w:w="4673" w:type="dxa"/>
            <w:shd w:val="clear" w:color="auto" w:fill="9CC2E5" w:themeFill="accent5" w:themeFillTint="99"/>
          </w:tcPr>
          <w:p w:rsidR="00F85043" w:rsidRDefault="00F85043" w14:paraId="552BA265" w14:textId="35D6EF89">
            <w:pPr>
              <w:rPr>
                <w:rFonts w:ascii="Calibri" w:hAnsi="Calibri" w:cs="Calibri"/>
                <w:b/>
                <w:bCs/>
              </w:rPr>
            </w:pPr>
            <w:r w:rsidRPr="00DC3EA1">
              <w:rPr>
                <w:rFonts w:ascii="Calibri" w:hAnsi="Calibri" w:cs="Calibri"/>
                <w:b/>
                <w:bCs/>
              </w:rPr>
              <w:t>Safeguarding</w:t>
            </w:r>
          </w:p>
          <w:p w:rsidRPr="00806AB0" w:rsidR="00F85043" w:rsidRDefault="00F85043" w14:paraId="434F23AE" w14:textId="3879120D">
            <w:pPr>
              <w:rPr>
                <w:rFonts w:ascii="Calibri" w:hAnsi="Calibri" w:cs="Calibri"/>
              </w:rPr>
            </w:pPr>
            <w:r w:rsidRPr="00806AB0">
              <w:rPr>
                <w:rFonts w:ascii="Calibri" w:hAnsi="Calibri" w:cs="Calibri"/>
              </w:rPr>
              <w:t xml:space="preserve">Our </w:t>
            </w:r>
            <w:r>
              <w:rPr>
                <w:rFonts w:ascii="Calibri" w:hAnsi="Calibri" w:cs="Calibri"/>
              </w:rPr>
              <w:t>self-</w:t>
            </w:r>
            <w:r w:rsidRPr="00806AB0">
              <w:rPr>
                <w:rFonts w:ascii="Calibri" w:hAnsi="Calibri" w:cs="Calibri"/>
              </w:rPr>
              <w:t xml:space="preserve">assessment = </w:t>
            </w:r>
          </w:p>
        </w:tc>
        <w:tc>
          <w:tcPr>
            <w:tcW w:w="6946" w:type="dxa"/>
            <w:shd w:val="clear" w:color="auto" w:fill="DEEAF6" w:themeFill="accent5" w:themeFillTint="33"/>
          </w:tcPr>
          <w:p w:rsidRPr="00DC3EA1" w:rsidR="00F85043" w:rsidRDefault="00F85043" w14:paraId="4E1894EA" w14:textId="4EC8C805">
            <w:pPr>
              <w:rPr>
                <w:rFonts w:ascii="Calibri" w:hAnsi="Calibri" w:cs="Calibri"/>
                <w:b/>
                <w:bCs/>
              </w:rPr>
            </w:pPr>
            <w:r w:rsidRPr="00DC3EA1">
              <w:rPr>
                <w:rFonts w:ascii="Calibri" w:hAnsi="Calibri" w:cs="Calibri"/>
                <w:b/>
                <w:bCs/>
              </w:rPr>
              <w:t>Strengths and evidence</w:t>
            </w:r>
          </w:p>
        </w:tc>
        <w:tc>
          <w:tcPr>
            <w:tcW w:w="3544" w:type="dxa"/>
            <w:shd w:val="clear" w:color="auto" w:fill="DEEAF6" w:themeFill="accent5" w:themeFillTint="33"/>
          </w:tcPr>
          <w:p w:rsidRPr="00DC3EA1" w:rsidR="00F85043" w:rsidP="00942891" w:rsidRDefault="00F85043" w14:paraId="2BC97483" w14:textId="77777777">
            <w:pPr>
              <w:rPr>
                <w:rFonts w:ascii="Calibri" w:hAnsi="Calibri" w:cs="Calibri"/>
                <w:b/>
                <w:bCs/>
              </w:rPr>
            </w:pPr>
            <w:r w:rsidRPr="00DC3EA1">
              <w:rPr>
                <w:rFonts w:ascii="Calibri" w:hAnsi="Calibri" w:cs="Calibri"/>
                <w:b/>
                <w:bCs/>
              </w:rPr>
              <w:t>Areas for development</w:t>
            </w:r>
          </w:p>
          <w:p w:rsidRPr="00DC3EA1" w:rsidR="00F85043" w:rsidP="00942891" w:rsidRDefault="00F85043" w14:paraId="2015B285" w14:textId="04914F2F">
            <w:pPr>
              <w:rPr>
                <w:rFonts w:ascii="Calibri" w:hAnsi="Calibri" w:cs="Calibri"/>
                <w:b/>
                <w:bCs/>
              </w:rPr>
            </w:pPr>
          </w:p>
        </w:tc>
      </w:tr>
      <w:tr w:rsidRPr="00DC3EA1" w:rsidR="005813B5" w:rsidTr="00FC1ED4" w14:paraId="65628E82" w14:textId="77777777">
        <w:tc>
          <w:tcPr>
            <w:tcW w:w="15163" w:type="dxa"/>
            <w:gridSpan w:val="3"/>
            <w:shd w:val="clear" w:color="auto" w:fill="DEEAF6" w:themeFill="accent5" w:themeFillTint="33"/>
          </w:tcPr>
          <w:p w:rsidRPr="005813B5" w:rsidR="005813B5" w:rsidP="00942891" w:rsidRDefault="005813B5" w14:paraId="6E73A3DF" w14:textId="3A3EFFE7">
            <w:pPr>
              <w:rPr>
                <w:rFonts w:ascii="Calibri" w:hAnsi="Calibri" w:cs="Calibri"/>
                <w:b/>
                <w:bCs/>
              </w:rPr>
            </w:pPr>
            <w:r w:rsidRPr="005813B5">
              <w:rPr>
                <w:rFonts w:ascii="Calibri" w:hAnsi="Calibri" w:cs="Calibri"/>
                <w:b/>
                <w:bCs/>
              </w:rPr>
              <w:t>Met descriptors</w:t>
            </w:r>
          </w:p>
        </w:tc>
      </w:tr>
      <w:tr w:rsidRPr="00DC3EA1" w:rsidR="00F85043" w:rsidTr="00F85043" w14:paraId="77136BCD" w14:textId="353AC12A">
        <w:tc>
          <w:tcPr>
            <w:tcW w:w="4673" w:type="dxa"/>
          </w:tcPr>
          <w:p w:rsidRPr="00DC3EA1" w:rsidR="00F85043" w:rsidP="00066AAB" w:rsidRDefault="00F85043" w14:paraId="10ED8374" w14:textId="169C68B3">
            <w:pPr>
              <w:pStyle w:val="ListParagraph"/>
              <w:numPr>
                <w:ilvl w:val="0"/>
                <w:numId w:val="19"/>
              </w:numPr>
              <w:ind w:left="360"/>
              <w:rPr>
                <w:rFonts w:ascii="Calibri" w:hAnsi="Calibri" w:cs="Calibri"/>
              </w:rPr>
            </w:pPr>
            <w:r w:rsidRPr="00DC3EA1">
              <w:rPr>
                <w:rFonts w:ascii="Calibri" w:hAnsi="Calibri" w:cs="Calibri"/>
              </w:rPr>
              <w:t xml:space="preserve">Leaders have established an open culture in which safeguarding is everyone’s responsibility. </w:t>
            </w:r>
          </w:p>
        </w:tc>
        <w:tc>
          <w:tcPr>
            <w:tcW w:w="6946" w:type="dxa"/>
          </w:tcPr>
          <w:p w:rsidRPr="00B717DF" w:rsidR="00F85043" w:rsidP="00B717DF" w:rsidRDefault="00F85043" w14:paraId="02D8AC05" w14:textId="77777777">
            <w:pPr>
              <w:pStyle w:val="ListParagraph"/>
              <w:numPr>
                <w:ilvl w:val="0"/>
                <w:numId w:val="29"/>
              </w:numPr>
              <w:ind w:left="360"/>
              <w:rPr>
                <w:rFonts w:ascii="Calibri" w:hAnsi="Calibri" w:cs="Calibri"/>
                <w:b/>
                <w:bCs/>
              </w:rPr>
            </w:pPr>
          </w:p>
        </w:tc>
        <w:tc>
          <w:tcPr>
            <w:tcW w:w="3544" w:type="dxa"/>
          </w:tcPr>
          <w:p w:rsidRPr="00B717DF" w:rsidR="00F85043" w:rsidP="00B717DF" w:rsidRDefault="00F85043" w14:paraId="4D4BFC1B" w14:textId="77777777">
            <w:pPr>
              <w:pStyle w:val="ListParagraph"/>
              <w:numPr>
                <w:ilvl w:val="0"/>
                <w:numId w:val="29"/>
              </w:numPr>
              <w:ind w:left="360"/>
              <w:rPr>
                <w:rFonts w:ascii="Calibri" w:hAnsi="Calibri" w:cs="Calibri"/>
                <w:b/>
                <w:bCs/>
              </w:rPr>
            </w:pPr>
          </w:p>
        </w:tc>
      </w:tr>
      <w:tr w:rsidRPr="00DC3EA1" w:rsidR="00F85043" w:rsidTr="00F85043" w14:paraId="483D5A0A" w14:textId="1FE1FB74">
        <w:tc>
          <w:tcPr>
            <w:tcW w:w="4673" w:type="dxa"/>
          </w:tcPr>
          <w:p w:rsidRPr="00DC3EA1" w:rsidR="00F85043" w:rsidP="00066AAB" w:rsidRDefault="00651BFF" w14:paraId="20CC5480" w14:textId="08E49D55">
            <w:pPr>
              <w:pStyle w:val="ListParagraph"/>
              <w:numPr>
                <w:ilvl w:val="0"/>
                <w:numId w:val="19"/>
              </w:numPr>
              <w:ind w:left="360"/>
              <w:rPr>
                <w:rFonts w:ascii="Calibri" w:hAnsi="Calibri" w:cs="Calibri"/>
              </w:rPr>
            </w:pPr>
            <w:r>
              <w:t xml:space="preserve">Leaders and practitioners meet their responsibilities to promote the safety of children, in relation to the statutory requirements for safeguarding. Multi-agency working is effective. </w:t>
            </w:r>
          </w:p>
        </w:tc>
        <w:tc>
          <w:tcPr>
            <w:tcW w:w="6946" w:type="dxa"/>
          </w:tcPr>
          <w:p w:rsidRPr="00B717DF" w:rsidR="00F85043" w:rsidP="00B717DF" w:rsidRDefault="00F85043" w14:paraId="59D26A2C" w14:textId="77777777">
            <w:pPr>
              <w:pStyle w:val="ListParagraph"/>
              <w:numPr>
                <w:ilvl w:val="0"/>
                <w:numId w:val="29"/>
              </w:numPr>
              <w:ind w:left="360"/>
              <w:rPr>
                <w:rFonts w:ascii="Calibri" w:hAnsi="Calibri" w:cs="Calibri"/>
                <w:b/>
                <w:bCs/>
              </w:rPr>
            </w:pPr>
          </w:p>
        </w:tc>
        <w:tc>
          <w:tcPr>
            <w:tcW w:w="3544" w:type="dxa"/>
          </w:tcPr>
          <w:p w:rsidRPr="00B717DF" w:rsidR="00F85043" w:rsidP="00B717DF" w:rsidRDefault="00F85043" w14:paraId="783FF23F" w14:textId="77777777">
            <w:pPr>
              <w:pStyle w:val="ListParagraph"/>
              <w:numPr>
                <w:ilvl w:val="0"/>
                <w:numId w:val="29"/>
              </w:numPr>
              <w:ind w:left="360"/>
              <w:rPr>
                <w:rFonts w:ascii="Calibri" w:hAnsi="Calibri" w:cs="Calibri"/>
                <w:b/>
                <w:bCs/>
              </w:rPr>
            </w:pPr>
          </w:p>
        </w:tc>
      </w:tr>
      <w:tr w:rsidRPr="00DC3EA1" w:rsidR="00F85043" w:rsidTr="00F85043" w14:paraId="7A9035FE" w14:textId="5E748874">
        <w:tc>
          <w:tcPr>
            <w:tcW w:w="4673" w:type="dxa"/>
          </w:tcPr>
          <w:p w:rsidRPr="00DC3EA1" w:rsidR="00F85043" w:rsidP="00066AAB" w:rsidRDefault="00D2417F" w14:paraId="44D4EACE" w14:textId="2A9D33DC">
            <w:pPr>
              <w:pStyle w:val="ListParagraph"/>
              <w:numPr>
                <w:ilvl w:val="0"/>
                <w:numId w:val="19"/>
              </w:numPr>
              <w:ind w:left="360"/>
              <w:rPr>
                <w:rFonts w:ascii="Calibri" w:hAnsi="Calibri" w:cs="Calibri"/>
              </w:rPr>
            </w:pPr>
            <w:r>
              <w:t>Parents and children know who to go to for support.</w:t>
            </w:r>
            <w:r w:rsidRPr="00DC3EA1" w:rsidR="00F85043">
              <w:rPr>
                <w:rFonts w:ascii="Calibri" w:hAnsi="Calibri" w:cs="Calibri"/>
              </w:rPr>
              <w:t xml:space="preserve"> </w:t>
            </w:r>
          </w:p>
        </w:tc>
        <w:tc>
          <w:tcPr>
            <w:tcW w:w="6946" w:type="dxa"/>
          </w:tcPr>
          <w:p w:rsidRPr="00B717DF" w:rsidR="00F85043" w:rsidP="00F573C0" w:rsidRDefault="00F85043" w14:paraId="3740AF83" w14:textId="77777777">
            <w:pPr>
              <w:pStyle w:val="ListParagraph"/>
              <w:numPr>
                <w:ilvl w:val="0"/>
                <w:numId w:val="29"/>
              </w:numPr>
              <w:ind w:left="360"/>
              <w:rPr>
                <w:rFonts w:ascii="Calibri" w:hAnsi="Calibri" w:cs="Calibri"/>
                <w:b/>
                <w:bCs/>
              </w:rPr>
            </w:pPr>
          </w:p>
        </w:tc>
        <w:tc>
          <w:tcPr>
            <w:tcW w:w="3544" w:type="dxa"/>
          </w:tcPr>
          <w:p w:rsidRPr="00B717DF" w:rsidR="00F85043" w:rsidP="00F573C0" w:rsidRDefault="00F85043" w14:paraId="479A03CA" w14:textId="77777777">
            <w:pPr>
              <w:pStyle w:val="ListParagraph"/>
              <w:numPr>
                <w:ilvl w:val="0"/>
                <w:numId w:val="29"/>
              </w:numPr>
              <w:ind w:left="360"/>
              <w:rPr>
                <w:rFonts w:ascii="Calibri" w:hAnsi="Calibri" w:cs="Calibri"/>
                <w:b/>
                <w:bCs/>
              </w:rPr>
            </w:pPr>
          </w:p>
        </w:tc>
      </w:tr>
      <w:tr w:rsidRPr="00DC3EA1" w:rsidR="00F85043" w:rsidTr="00F85043" w14:paraId="5F65A7E0" w14:textId="7BE14AD6">
        <w:tc>
          <w:tcPr>
            <w:tcW w:w="4673" w:type="dxa"/>
          </w:tcPr>
          <w:p w:rsidRPr="00DC3EA1" w:rsidR="00F85043" w:rsidP="00066AAB" w:rsidRDefault="00D2417F" w14:paraId="3F6BBB8F" w14:textId="79EDC916">
            <w:pPr>
              <w:pStyle w:val="ListParagraph"/>
              <w:numPr>
                <w:ilvl w:val="0"/>
                <w:numId w:val="19"/>
              </w:numPr>
              <w:ind w:left="360"/>
              <w:rPr>
                <w:rFonts w:ascii="Calibri" w:hAnsi="Calibri" w:cs="Calibri"/>
              </w:rPr>
            </w:pPr>
            <w:r>
              <w:t xml:space="preserve">Leaders identify children who may need early help and who are at risk of harm or who have been harmed. Practitioners recognise that babies and young children, including those with SEND, may be more vulnerable to abuse and neglect and that they depend on adults to recognise and respond to concerns on their behalf. Leaders and practitioners identify children who </w:t>
            </w:r>
            <w:proofErr w:type="gramStart"/>
            <w:r>
              <w:t>are in need of</w:t>
            </w:r>
            <w:proofErr w:type="gramEnd"/>
            <w:r>
              <w:t xml:space="preserve"> early help or are at risk of harm.</w:t>
            </w:r>
          </w:p>
        </w:tc>
        <w:tc>
          <w:tcPr>
            <w:tcW w:w="6946" w:type="dxa"/>
          </w:tcPr>
          <w:p w:rsidRPr="00B717DF" w:rsidR="00F85043" w:rsidP="00F573C0" w:rsidRDefault="00F85043" w14:paraId="23072B8D" w14:textId="77777777">
            <w:pPr>
              <w:pStyle w:val="ListParagraph"/>
              <w:numPr>
                <w:ilvl w:val="0"/>
                <w:numId w:val="29"/>
              </w:numPr>
              <w:ind w:left="360"/>
              <w:rPr>
                <w:rFonts w:ascii="Calibri" w:hAnsi="Calibri" w:cs="Calibri"/>
                <w:b/>
                <w:bCs/>
              </w:rPr>
            </w:pPr>
          </w:p>
        </w:tc>
        <w:tc>
          <w:tcPr>
            <w:tcW w:w="3544" w:type="dxa"/>
          </w:tcPr>
          <w:p w:rsidRPr="00B717DF" w:rsidR="00F85043" w:rsidP="00F573C0" w:rsidRDefault="00F85043" w14:paraId="651E8874" w14:textId="77777777">
            <w:pPr>
              <w:pStyle w:val="ListParagraph"/>
              <w:numPr>
                <w:ilvl w:val="0"/>
                <w:numId w:val="29"/>
              </w:numPr>
              <w:ind w:left="360"/>
              <w:rPr>
                <w:rFonts w:ascii="Calibri" w:hAnsi="Calibri" w:cs="Calibri"/>
                <w:b/>
                <w:bCs/>
              </w:rPr>
            </w:pPr>
          </w:p>
        </w:tc>
      </w:tr>
      <w:tr w:rsidRPr="00DC3EA1" w:rsidR="00F85043" w:rsidTr="00F85043" w14:paraId="55132C28" w14:textId="792E8952">
        <w:tc>
          <w:tcPr>
            <w:tcW w:w="4673" w:type="dxa"/>
          </w:tcPr>
          <w:p w:rsidRPr="00DC3EA1" w:rsidR="00F85043" w:rsidP="00066AAB" w:rsidRDefault="00304666" w14:paraId="7B506F58" w14:textId="6F5B1541">
            <w:pPr>
              <w:pStyle w:val="ListParagraph"/>
              <w:numPr>
                <w:ilvl w:val="0"/>
                <w:numId w:val="19"/>
              </w:numPr>
              <w:ind w:left="360"/>
              <w:rPr>
                <w:rFonts w:ascii="Calibri" w:hAnsi="Calibri" w:cs="Calibri"/>
              </w:rPr>
            </w:pPr>
            <w:r>
              <w:t xml:space="preserve">All practitioners are vigilant and carry out their responsibilities effectively to keep children safe. They follow the setting’s systems confidently and consistently. </w:t>
            </w:r>
          </w:p>
        </w:tc>
        <w:tc>
          <w:tcPr>
            <w:tcW w:w="6946" w:type="dxa"/>
          </w:tcPr>
          <w:p w:rsidRPr="00B717DF" w:rsidR="00F85043" w:rsidP="00B717DF" w:rsidRDefault="00F85043" w14:paraId="57CC742F" w14:textId="77777777">
            <w:pPr>
              <w:pStyle w:val="ListParagraph"/>
              <w:numPr>
                <w:ilvl w:val="0"/>
                <w:numId w:val="29"/>
              </w:numPr>
              <w:ind w:left="360"/>
              <w:rPr>
                <w:rFonts w:ascii="Calibri" w:hAnsi="Calibri" w:cs="Calibri"/>
                <w:b/>
                <w:bCs/>
              </w:rPr>
            </w:pPr>
          </w:p>
        </w:tc>
        <w:tc>
          <w:tcPr>
            <w:tcW w:w="3544" w:type="dxa"/>
          </w:tcPr>
          <w:p w:rsidRPr="00B717DF" w:rsidR="00F85043" w:rsidP="00B717DF" w:rsidRDefault="00F85043" w14:paraId="59921A98" w14:textId="77777777">
            <w:pPr>
              <w:pStyle w:val="ListParagraph"/>
              <w:numPr>
                <w:ilvl w:val="0"/>
                <w:numId w:val="29"/>
              </w:numPr>
              <w:ind w:left="360"/>
              <w:rPr>
                <w:rFonts w:ascii="Calibri" w:hAnsi="Calibri" w:cs="Calibri"/>
                <w:b/>
                <w:bCs/>
              </w:rPr>
            </w:pPr>
          </w:p>
        </w:tc>
      </w:tr>
      <w:tr w:rsidRPr="00DC3EA1" w:rsidR="00F85043" w:rsidTr="00F85043" w14:paraId="6B856200" w14:textId="7343C7DA">
        <w:tc>
          <w:tcPr>
            <w:tcW w:w="4673" w:type="dxa"/>
          </w:tcPr>
          <w:p w:rsidRPr="00DC3EA1" w:rsidR="00F85043" w:rsidP="00066AAB" w:rsidRDefault="002B5BDD" w14:paraId="4F73533D" w14:textId="12A03795">
            <w:pPr>
              <w:pStyle w:val="ListParagraph"/>
              <w:numPr>
                <w:ilvl w:val="0"/>
                <w:numId w:val="19"/>
              </w:numPr>
              <w:ind w:left="360"/>
              <w:rPr>
                <w:rFonts w:ascii="Calibri" w:hAnsi="Calibri" w:cs="Calibri"/>
              </w:rPr>
            </w:pPr>
            <w:r>
              <w:t>Leaders and practitioners ensure that other professionals and parents adhere to policies to keep children safe.</w:t>
            </w:r>
          </w:p>
        </w:tc>
        <w:tc>
          <w:tcPr>
            <w:tcW w:w="6946" w:type="dxa"/>
          </w:tcPr>
          <w:p w:rsidRPr="00B717DF" w:rsidR="00F85043" w:rsidP="00B717DF" w:rsidRDefault="00F85043" w14:paraId="164D2A66" w14:textId="77777777">
            <w:pPr>
              <w:pStyle w:val="ListParagraph"/>
              <w:numPr>
                <w:ilvl w:val="0"/>
                <w:numId w:val="29"/>
              </w:numPr>
              <w:ind w:left="360"/>
              <w:rPr>
                <w:rFonts w:ascii="Calibri" w:hAnsi="Calibri" w:cs="Calibri"/>
                <w:b/>
                <w:bCs/>
              </w:rPr>
            </w:pPr>
          </w:p>
        </w:tc>
        <w:tc>
          <w:tcPr>
            <w:tcW w:w="3544" w:type="dxa"/>
          </w:tcPr>
          <w:p w:rsidRPr="00B717DF" w:rsidR="00F85043" w:rsidP="00B717DF" w:rsidRDefault="00F85043" w14:paraId="2960395D" w14:textId="77777777">
            <w:pPr>
              <w:pStyle w:val="ListParagraph"/>
              <w:numPr>
                <w:ilvl w:val="0"/>
                <w:numId w:val="29"/>
              </w:numPr>
              <w:ind w:left="360"/>
              <w:rPr>
                <w:rFonts w:ascii="Calibri" w:hAnsi="Calibri" w:cs="Calibri"/>
                <w:b/>
                <w:bCs/>
              </w:rPr>
            </w:pPr>
          </w:p>
        </w:tc>
      </w:tr>
      <w:tr w:rsidRPr="00DC3EA1" w:rsidR="00F85043" w:rsidTr="00F85043" w14:paraId="5037946D" w14:textId="1C9F18B3">
        <w:tc>
          <w:tcPr>
            <w:tcW w:w="4673" w:type="dxa"/>
          </w:tcPr>
          <w:p w:rsidRPr="00DC3EA1" w:rsidR="00F85043" w:rsidP="00066AAB" w:rsidRDefault="00837531" w14:paraId="1F0FF483" w14:textId="4F0E0CC7">
            <w:pPr>
              <w:pStyle w:val="ListParagraph"/>
              <w:numPr>
                <w:ilvl w:val="0"/>
                <w:numId w:val="19"/>
              </w:numPr>
              <w:ind w:left="360"/>
              <w:rPr>
                <w:rFonts w:ascii="Calibri" w:hAnsi="Calibri" w:cs="Calibri"/>
              </w:rPr>
            </w:pPr>
            <w:r>
              <w:t>Leaders manage recruitment safely, ensuring that practitioners have the relevant qualifications and training and have passed any checks required for their roles.</w:t>
            </w:r>
          </w:p>
        </w:tc>
        <w:tc>
          <w:tcPr>
            <w:tcW w:w="6946" w:type="dxa"/>
          </w:tcPr>
          <w:p w:rsidRPr="00B717DF" w:rsidR="00F85043" w:rsidP="00B717DF" w:rsidRDefault="00F85043" w14:paraId="4223FD09" w14:textId="77777777">
            <w:pPr>
              <w:pStyle w:val="ListParagraph"/>
              <w:numPr>
                <w:ilvl w:val="0"/>
                <w:numId w:val="29"/>
              </w:numPr>
              <w:ind w:left="360"/>
              <w:rPr>
                <w:rFonts w:ascii="Calibri" w:hAnsi="Calibri" w:cs="Calibri"/>
                <w:b/>
                <w:bCs/>
              </w:rPr>
            </w:pPr>
          </w:p>
        </w:tc>
        <w:tc>
          <w:tcPr>
            <w:tcW w:w="3544" w:type="dxa"/>
          </w:tcPr>
          <w:p w:rsidRPr="00B717DF" w:rsidR="00F85043" w:rsidP="00B717DF" w:rsidRDefault="00F85043" w14:paraId="79AF2BFD" w14:textId="77777777">
            <w:pPr>
              <w:pStyle w:val="ListParagraph"/>
              <w:numPr>
                <w:ilvl w:val="0"/>
                <w:numId w:val="29"/>
              </w:numPr>
              <w:ind w:left="360"/>
              <w:rPr>
                <w:rFonts w:ascii="Calibri" w:hAnsi="Calibri" w:cs="Calibri"/>
                <w:b/>
                <w:bCs/>
              </w:rPr>
            </w:pPr>
          </w:p>
        </w:tc>
      </w:tr>
      <w:tr w:rsidRPr="00DC3EA1" w:rsidR="00F85043" w:rsidTr="00F85043" w14:paraId="449D9F6F" w14:textId="79BD5212">
        <w:tc>
          <w:tcPr>
            <w:tcW w:w="4673" w:type="dxa"/>
          </w:tcPr>
          <w:p w:rsidRPr="00DC3EA1" w:rsidR="00F85043" w:rsidP="00066AAB" w:rsidRDefault="003C5C33" w14:paraId="435DC2AF" w14:textId="19AAD8ED">
            <w:pPr>
              <w:pStyle w:val="ListParagraph"/>
              <w:numPr>
                <w:ilvl w:val="0"/>
                <w:numId w:val="19"/>
              </w:numPr>
              <w:ind w:left="360"/>
              <w:rPr>
                <w:rFonts w:ascii="Calibri" w:hAnsi="Calibri" w:cs="Calibri"/>
              </w:rPr>
            </w:pPr>
            <w:r>
              <w:t xml:space="preserve">Leaders and practitioners understand and follow the requirements for reporting, referrals, record-keeping and the ‘Prevent’ duty. Policies and procedures for keeping children safe are clear and accessible. </w:t>
            </w:r>
          </w:p>
        </w:tc>
        <w:tc>
          <w:tcPr>
            <w:tcW w:w="6946" w:type="dxa"/>
          </w:tcPr>
          <w:p w:rsidRPr="00B717DF" w:rsidR="00F85043" w:rsidP="00B717DF" w:rsidRDefault="00F85043" w14:paraId="7F028252" w14:textId="77777777">
            <w:pPr>
              <w:pStyle w:val="ListParagraph"/>
              <w:numPr>
                <w:ilvl w:val="0"/>
                <w:numId w:val="29"/>
              </w:numPr>
              <w:ind w:left="360"/>
              <w:rPr>
                <w:rFonts w:ascii="Calibri" w:hAnsi="Calibri" w:cs="Calibri"/>
                <w:b/>
                <w:bCs/>
              </w:rPr>
            </w:pPr>
          </w:p>
        </w:tc>
        <w:tc>
          <w:tcPr>
            <w:tcW w:w="3544" w:type="dxa"/>
          </w:tcPr>
          <w:p w:rsidRPr="00B717DF" w:rsidR="00F85043" w:rsidP="00B717DF" w:rsidRDefault="00F85043" w14:paraId="1E4E8053" w14:textId="77777777">
            <w:pPr>
              <w:pStyle w:val="ListParagraph"/>
              <w:numPr>
                <w:ilvl w:val="0"/>
                <w:numId w:val="29"/>
              </w:numPr>
              <w:ind w:left="360"/>
              <w:rPr>
                <w:rFonts w:ascii="Calibri" w:hAnsi="Calibri" w:cs="Calibri"/>
                <w:b/>
                <w:bCs/>
              </w:rPr>
            </w:pPr>
          </w:p>
        </w:tc>
      </w:tr>
      <w:tr w:rsidRPr="00DC3EA1" w:rsidR="00A1188D" w:rsidTr="00F85043" w14:paraId="495A251F" w14:textId="77777777">
        <w:tc>
          <w:tcPr>
            <w:tcW w:w="4673" w:type="dxa"/>
          </w:tcPr>
          <w:p w:rsidR="00A1188D" w:rsidP="00066AAB" w:rsidRDefault="00A1188D" w14:paraId="3AA52532" w14:textId="7368806A">
            <w:pPr>
              <w:pStyle w:val="ListParagraph"/>
              <w:numPr>
                <w:ilvl w:val="0"/>
                <w:numId w:val="19"/>
              </w:numPr>
              <w:ind w:left="360"/>
            </w:pPr>
            <w:r>
              <w:t>Leaders fulfil their duty to refer allegations or concerns to relevant agencies, including the LADO and the DBS.</w:t>
            </w:r>
          </w:p>
        </w:tc>
        <w:tc>
          <w:tcPr>
            <w:tcW w:w="6946" w:type="dxa"/>
          </w:tcPr>
          <w:p w:rsidRPr="00B717DF" w:rsidR="00A1188D" w:rsidP="00B717DF" w:rsidRDefault="00A1188D" w14:paraId="6C90C81A" w14:textId="77777777">
            <w:pPr>
              <w:pStyle w:val="ListParagraph"/>
              <w:numPr>
                <w:ilvl w:val="0"/>
                <w:numId w:val="29"/>
              </w:numPr>
              <w:ind w:left="360"/>
              <w:rPr>
                <w:rFonts w:ascii="Calibri" w:hAnsi="Calibri" w:cs="Calibri"/>
                <w:b/>
                <w:bCs/>
              </w:rPr>
            </w:pPr>
          </w:p>
        </w:tc>
        <w:tc>
          <w:tcPr>
            <w:tcW w:w="3544" w:type="dxa"/>
          </w:tcPr>
          <w:p w:rsidRPr="00B717DF" w:rsidR="00A1188D" w:rsidP="00B717DF" w:rsidRDefault="00A1188D" w14:paraId="09597E97" w14:textId="77777777">
            <w:pPr>
              <w:pStyle w:val="ListParagraph"/>
              <w:numPr>
                <w:ilvl w:val="0"/>
                <w:numId w:val="29"/>
              </w:numPr>
              <w:ind w:left="360"/>
              <w:rPr>
                <w:rFonts w:ascii="Calibri" w:hAnsi="Calibri" w:cs="Calibri"/>
                <w:b/>
                <w:bCs/>
              </w:rPr>
            </w:pPr>
          </w:p>
        </w:tc>
      </w:tr>
      <w:tr w:rsidRPr="00DC3EA1" w:rsidR="00A1188D" w:rsidTr="00F85043" w14:paraId="092387EF" w14:textId="77777777">
        <w:tc>
          <w:tcPr>
            <w:tcW w:w="4673" w:type="dxa"/>
          </w:tcPr>
          <w:p w:rsidR="00A1188D" w:rsidP="00066AAB" w:rsidRDefault="00987DB4" w14:paraId="090C83D3" w14:textId="418F7388">
            <w:pPr>
              <w:pStyle w:val="ListParagraph"/>
              <w:numPr>
                <w:ilvl w:val="0"/>
                <w:numId w:val="19"/>
              </w:numPr>
              <w:ind w:left="360"/>
            </w:pPr>
            <w:r>
              <w:t>Leaders ensure that supervision, support and monitoring of adults are appropriate.</w:t>
            </w:r>
          </w:p>
        </w:tc>
        <w:tc>
          <w:tcPr>
            <w:tcW w:w="6946" w:type="dxa"/>
          </w:tcPr>
          <w:p w:rsidRPr="00B717DF" w:rsidR="00A1188D" w:rsidP="00B717DF" w:rsidRDefault="00A1188D" w14:paraId="4029EE7C" w14:textId="77777777">
            <w:pPr>
              <w:pStyle w:val="ListParagraph"/>
              <w:numPr>
                <w:ilvl w:val="0"/>
                <w:numId w:val="29"/>
              </w:numPr>
              <w:ind w:left="360"/>
              <w:rPr>
                <w:rFonts w:ascii="Calibri" w:hAnsi="Calibri" w:cs="Calibri"/>
                <w:b/>
                <w:bCs/>
              </w:rPr>
            </w:pPr>
          </w:p>
        </w:tc>
        <w:tc>
          <w:tcPr>
            <w:tcW w:w="3544" w:type="dxa"/>
          </w:tcPr>
          <w:p w:rsidRPr="00B717DF" w:rsidR="00A1188D" w:rsidP="00B717DF" w:rsidRDefault="00A1188D" w14:paraId="23AEEF6A" w14:textId="77777777">
            <w:pPr>
              <w:pStyle w:val="ListParagraph"/>
              <w:numPr>
                <w:ilvl w:val="0"/>
                <w:numId w:val="29"/>
              </w:numPr>
              <w:ind w:left="360"/>
              <w:rPr>
                <w:rFonts w:ascii="Calibri" w:hAnsi="Calibri" w:cs="Calibri"/>
                <w:b/>
                <w:bCs/>
              </w:rPr>
            </w:pPr>
          </w:p>
        </w:tc>
      </w:tr>
      <w:tr w:rsidRPr="00DC3EA1" w:rsidR="00987DB4" w:rsidTr="00F85043" w14:paraId="5A0EEB7F" w14:textId="77777777">
        <w:tc>
          <w:tcPr>
            <w:tcW w:w="4673" w:type="dxa"/>
          </w:tcPr>
          <w:p w:rsidR="00987DB4" w:rsidP="00066AAB" w:rsidRDefault="00987DB4" w14:paraId="77CC8D6A" w14:textId="274FC63A">
            <w:pPr>
              <w:pStyle w:val="ListParagraph"/>
              <w:numPr>
                <w:ilvl w:val="0"/>
                <w:numId w:val="19"/>
              </w:numPr>
              <w:ind w:left="360"/>
            </w:pPr>
            <w:r>
              <w:t>The conduct and behaviour of staff are appropriate</w:t>
            </w:r>
            <w:r w:rsidR="001B436F">
              <w:t>.</w:t>
            </w:r>
          </w:p>
        </w:tc>
        <w:tc>
          <w:tcPr>
            <w:tcW w:w="6946" w:type="dxa"/>
          </w:tcPr>
          <w:p w:rsidRPr="00B717DF" w:rsidR="00987DB4" w:rsidP="00B717DF" w:rsidRDefault="00987DB4" w14:paraId="7D5A0527" w14:textId="77777777">
            <w:pPr>
              <w:pStyle w:val="ListParagraph"/>
              <w:numPr>
                <w:ilvl w:val="0"/>
                <w:numId w:val="29"/>
              </w:numPr>
              <w:ind w:left="360"/>
              <w:rPr>
                <w:rFonts w:ascii="Calibri" w:hAnsi="Calibri" w:cs="Calibri"/>
                <w:b/>
                <w:bCs/>
              </w:rPr>
            </w:pPr>
          </w:p>
        </w:tc>
        <w:tc>
          <w:tcPr>
            <w:tcW w:w="3544" w:type="dxa"/>
          </w:tcPr>
          <w:p w:rsidRPr="00B717DF" w:rsidR="00987DB4" w:rsidP="00B717DF" w:rsidRDefault="00987DB4" w14:paraId="0184ADDF" w14:textId="77777777">
            <w:pPr>
              <w:pStyle w:val="ListParagraph"/>
              <w:numPr>
                <w:ilvl w:val="0"/>
                <w:numId w:val="29"/>
              </w:numPr>
              <w:ind w:left="360"/>
              <w:rPr>
                <w:rFonts w:ascii="Calibri" w:hAnsi="Calibri" w:cs="Calibri"/>
                <w:b/>
                <w:bCs/>
              </w:rPr>
            </w:pPr>
          </w:p>
        </w:tc>
      </w:tr>
      <w:tr w:rsidRPr="00DC3EA1" w:rsidR="00987DB4" w:rsidTr="00F85043" w14:paraId="3E7776F8" w14:textId="77777777">
        <w:tc>
          <w:tcPr>
            <w:tcW w:w="4673" w:type="dxa"/>
          </w:tcPr>
          <w:p w:rsidR="00987DB4" w:rsidP="00066AAB" w:rsidRDefault="00AB00F3" w14:paraId="32C766C5" w14:textId="07588BE6">
            <w:pPr>
              <w:pStyle w:val="ListParagraph"/>
              <w:numPr>
                <w:ilvl w:val="0"/>
                <w:numId w:val="19"/>
              </w:numPr>
              <w:ind w:left="360"/>
            </w:pPr>
            <w:r>
              <w:t>Leaders and practitioners are receptive to challenge and reflect on their own practice so that the impact of safeguarding policies, systems and processes is kept under continual review.</w:t>
            </w:r>
          </w:p>
        </w:tc>
        <w:tc>
          <w:tcPr>
            <w:tcW w:w="6946" w:type="dxa"/>
          </w:tcPr>
          <w:p w:rsidRPr="00B717DF" w:rsidR="00987DB4" w:rsidP="00B717DF" w:rsidRDefault="00987DB4" w14:paraId="26BE5102" w14:textId="77777777">
            <w:pPr>
              <w:pStyle w:val="ListParagraph"/>
              <w:numPr>
                <w:ilvl w:val="0"/>
                <w:numId w:val="29"/>
              </w:numPr>
              <w:ind w:left="360"/>
              <w:rPr>
                <w:rFonts w:ascii="Calibri" w:hAnsi="Calibri" w:cs="Calibri"/>
                <w:b/>
                <w:bCs/>
              </w:rPr>
            </w:pPr>
          </w:p>
        </w:tc>
        <w:tc>
          <w:tcPr>
            <w:tcW w:w="3544" w:type="dxa"/>
          </w:tcPr>
          <w:p w:rsidRPr="00B717DF" w:rsidR="00987DB4" w:rsidP="00B717DF" w:rsidRDefault="00987DB4" w14:paraId="6E369177" w14:textId="77777777">
            <w:pPr>
              <w:pStyle w:val="ListParagraph"/>
              <w:numPr>
                <w:ilvl w:val="0"/>
                <w:numId w:val="29"/>
              </w:numPr>
              <w:ind w:left="360"/>
              <w:rPr>
                <w:rFonts w:ascii="Calibri" w:hAnsi="Calibri" w:cs="Calibri"/>
                <w:b/>
                <w:bCs/>
              </w:rPr>
            </w:pPr>
          </w:p>
        </w:tc>
      </w:tr>
      <w:tr w:rsidRPr="00DC3EA1" w:rsidR="00F85043" w:rsidTr="00F0435C" w14:paraId="7DF29137" w14:textId="5E33C16C">
        <w:tc>
          <w:tcPr>
            <w:tcW w:w="4673" w:type="dxa"/>
            <w:shd w:val="clear" w:color="auto" w:fill="9CC2E5" w:themeFill="accent5" w:themeFillTint="99"/>
          </w:tcPr>
          <w:p w:rsidR="00F85043" w:rsidRDefault="00F85043" w14:paraId="746E812D" w14:textId="48199937">
            <w:pPr>
              <w:rPr>
                <w:rFonts w:ascii="Calibri" w:hAnsi="Calibri" w:cs="Calibri"/>
                <w:b/>
                <w:bCs/>
              </w:rPr>
            </w:pPr>
            <w:r w:rsidRPr="00DC3EA1">
              <w:rPr>
                <w:rFonts w:ascii="Calibri" w:hAnsi="Calibri" w:cs="Calibri"/>
                <w:b/>
                <w:bCs/>
              </w:rPr>
              <w:t>Inclusion</w:t>
            </w:r>
            <w:r>
              <w:rPr>
                <w:rFonts w:ascii="Calibri" w:hAnsi="Calibri" w:cs="Calibri"/>
                <w:b/>
                <w:bCs/>
              </w:rPr>
              <w:t xml:space="preserve"> </w:t>
            </w:r>
          </w:p>
          <w:p w:rsidRPr="00806AB0" w:rsidR="00F85043" w:rsidRDefault="00F85043" w14:paraId="141E3873" w14:textId="529E5733">
            <w:pPr>
              <w:rPr>
                <w:rFonts w:ascii="Calibri" w:hAnsi="Calibri" w:cs="Calibri"/>
              </w:rPr>
            </w:pPr>
            <w:r w:rsidRPr="00806AB0">
              <w:rPr>
                <w:rFonts w:ascii="Calibri" w:hAnsi="Calibri" w:cs="Calibri"/>
              </w:rPr>
              <w:t xml:space="preserve">Our </w:t>
            </w:r>
            <w:r>
              <w:rPr>
                <w:rFonts w:ascii="Calibri" w:hAnsi="Calibri" w:cs="Calibri"/>
              </w:rPr>
              <w:t>self-</w:t>
            </w:r>
            <w:r w:rsidRPr="00806AB0">
              <w:rPr>
                <w:rFonts w:ascii="Calibri" w:hAnsi="Calibri" w:cs="Calibri"/>
              </w:rPr>
              <w:t xml:space="preserve">assessment = </w:t>
            </w:r>
          </w:p>
        </w:tc>
        <w:tc>
          <w:tcPr>
            <w:tcW w:w="6946" w:type="dxa"/>
            <w:shd w:val="clear" w:color="auto" w:fill="DEEAF6" w:themeFill="accent5" w:themeFillTint="33"/>
          </w:tcPr>
          <w:p w:rsidRPr="00DC3EA1" w:rsidR="00F85043" w:rsidRDefault="00F85043" w14:paraId="66683CD6" w14:textId="391B102B">
            <w:pPr>
              <w:rPr>
                <w:rFonts w:ascii="Calibri" w:hAnsi="Calibri" w:cs="Calibri"/>
                <w:b/>
                <w:bCs/>
              </w:rPr>
            </w:pPr>
            <w:r w:rsidRPr="00DC3EA1">
              <w:rPr>
                <w:rFonts w:ascii="Calibri" w:hAnsi="Calibri" w:cs="Calibri"/>
                <w:b/>
                <w:bCs/>
              </w:rPr>
              <w:t>Strengths and evidence</w:t>
            </w:r>
          </w:p>
        </w:tc>
        <w:tc>
          <w:tcPr>
            <w:tcW w:w="3544" w:type="dxa"/>
            <w:shd w:val="clear" w:color="auto" w:fill="DEEAF6" w:themeFill="accent5" w:themeFillTint="33"/>
          </w:tcPr>
          <w:p w:rsidRPr="00DC3EA1" w:rsidR="00F85043" w:rsidRDefault="00F85043" w14:paraId="2E50EA0A" w14:textId="77777777">
            <w:pPr>
              <w:rPr>
                <w:rFonts w:ascii="Calibri" w:hAnsi="Calibri" w:cs="Calibri"/>
                <w:b/>
                <w:bCs/>
              </w:rPr>
            </w:pPr>
            <w:r w:rsidRPr="00DC3EA1">
              <w:rPr>
                <w:rFonts w:ascii="Calibri" w:hAnsi="Calibri" w:cs="Calibri"/>
                <w:b/>
                <w:bCs/>
              </w:rPr>
              <w:t>Areas for development</w:t>
            </w:r>
          </w:p>
          <w:p w:rsidRPr="00DC3EA1" w:rsidR="00F85043" w:rsidRDefault="00F85043" w14:paraId="3D158741" w14:textId="55977213">
            <w:pPr>
              <w:rPr>
                <w:rFonts w:ascii="Calibri" w:hAnsi="Calibri" w:cs="Calibri"/>
                <w:b/>
                <w:bCs/>
              </w:rPr>
            </w:pPr>
          </w:p>
        </w:tc>
      </w:tr>
      <w:tr w:rsidRPr="00DC3EA1" w:rsidR="005450F8" w:rsidTr="00FC1ED4" w14:paraId="768C5498" w14:textId="77777777">
        <w:tc>
          <w:tcPr>
            <w:tcW w:w="15163" w:type="dxa"/>
            <w:gridSpan w:val="3"/>
            <w:shd w:val="clear" w:color="auto" w:fill="DEEAF6" w:themeFill="accent5" w:themeFillTint="33"/>
          </w:tcPr>
          <w:p w:rsidRPr="005450F8" w:rsidR="005450F8" w:rsidRDefault="005450F8" w14:paraId="6E2E0540" w14:textId="3229A02A">
            <w:pPr>
              <w:rPr>
                <w:rFonts w:ascii="Calibri" w:hAnsi="Calibri" w:cs="Calibri"/>
                <w:b/>
                <w:bCs/>
              </w:rPr>
            </w:pPr>
            <w:r w:rsidRPr="005450F8">
              <w:rPr>
                <w:rFonts w:ascii="Calibri" w:hAnsi="Calibri" w:cs="Calibri"/>
                <w:b/>
                <w:bCs/>
              </w:rPr>
              <w:t>Expected standard descriptors</w:t>
            </w:r>
          </w:p>
        </w:tc>
      </w:tr>
      <w:tr w:rsidRPr="00DC3EA1" w:rsidR="00F85043" w:rsidTr="00F85043" w14:paraId="06C61C89" w14:textId="0303FC72">
        <w:tc>
          <w:tcPr>
            <w:tcW w:w="4673" w:type="dxa"/>
          </w:tcPr>
          <w:p w:rsidRPr="00DC3EA1" w:rsidR="00F85043" w:rsidP="00066AAB" w:rsidRDefault="00F85043" w14:paraId="5DB9EB8E" w14:textId="4A01EB53">
            <w:pPr>
              <w:numPr>
                <w:ilvl w:val="0"/>
                <w:numId w:val="1"/>
              </w:numPr>
              <w:spacing w:after="75"/>
              <w:ind w:left="360"/>
              <w:rPr>
                <w:rFonts w:ascii="Calibri" w:hAnsi="Calibri" w:eastAsia="Times New Roman" w:cs="Calibri"/>
                <w:color w:val="0B0C0C"/>
                <w:kern w:val="0"/>
                <w:lang w:eastAsia="en-GB"/>
                <w14:ligatures w14:val="none"/>
              </w:rPr>
            </w:pPr>
            <w:r w:rsidRPr="00DC3EA1">
              <w:rPr>
                <w:rFonts w:ascii="Calibri" w:hAnsi="Calibri" w:cs="Calibri"/>
              </w:rPr>
              <w:t xml:space="preserve">Leaders identify pupils’ needs quickly and accurately, including any emerging or changing needs. This includes the needs of disadvantaged pupils, those with SEND, those who are known (or previously known) to children’s social care, and those who may face other barriers to their learning and/or well-being. </w:t>
            </w:r>
          </w:p>
        </w:tc>
        <w:tc>
          <w:tcPr>
            <w:tcW w:w="6946" w:type="dxa"/>
          </w:tcPr>
          <w:p w:rsidRPr="00A028BB" w:rsidR="00F85043" w:rsidP="00A028BB" w:rsidRDefault="00F85043" w14:paraId="408E9B1A" w14:textId="77777777">
            <w:pPr>
              <w:pStyle w:val="ListParagraph"/>
              <w:numPr>
                <w:ilvl w:val="0"/>
                <w:numId w:val="29"/>
              </w:numPr>
              <w:ind w:left="360"/>
              <w:rPr>
                <w:rFonts w:ascii="Calibri" w:hAnsi="Calibri" w:cs="Calibri"/>
              </w:rPr>
            </w:pPr>
          </w:p>
        </w:tc>
        <w:tc>
          <w:tcPr>
            <w:tcW w:w="3544" w:type="dxa"/>
          </w:tcPr>
          <w:p w:rsidRPr="00A028BB" w:rsidR="00F85043" w:rsidP="00A028BB" w:rsidRDefault="00F85043" w14:paraId="39E0F93B" w14:textId="77777777">
            <w:pPr>
              <w:pStyle w:val="ListParagraph"/>
              <w:numPr>
                <w:ilvl w:val="0"/>
                <w:numId w:val="29"/>
              </w:numPr>
              <w:ind w:left="360"/>
              <w:rPr>
                <w:rFonts w:ascii="Calibri" w:hAnsi="Calibri" w:cs="Calibri"/>
              </w:rPr>
            </w:pPr>
          </w:p>
        </w:tc>
      </w:tr>
      <w:tr w:rsidRPr="00DC3EA1" w:rsidR="00F85043" w:rsidTr="00F85043" w14:paraId="2BE08EE8" w14:textId="3C38C129">
        <w:tc>
          <w:tcPr>
            <w:tcW w:w="4673" w:type="dxa"/>
          </w:tcPr>
          <w:p w:rsidRPr="00DC3EA1" w:rsidR="00F85043" w:rsidP="00066AAB" w:rsidRDefault="00F85043" w14:paraId="3617C1F7" w14:textId="03FC41CC">
            <w:pPr>
              <w:numPr>
                <w:ilvl w:val="0"/>
                <w:numId w:val="1"/>
              </w:numPr>
              <w:spacing w:after="75"/>
              <w:ind w:left="360"/>
              <w:rPr>
                <w:rFonts w:ascii="Calibri" w:hAnsi="Calibri" w:eastAsia="Times New Roman" w:cs="Calibri"/>
                <w:color w:val="0B0C0C"/>
                <w:kern w:val="0"/>
                <w:lang w:eastAsia="en-GB"/>
                <w14:ligatures w14:val="none"/>
              </w:rPr>
            </w:pPr>
            <w:r w:rsidRPr="00DC3EA1">
              <w:rPr>
                <w:rFonts w:ascii="Calibri" w:hAnsi="Calibri" w:cs="Calibri"/>
              </w:rPr>
              <w:t xml:space="preserve">Leaders have high expectations for these </w:t>
            </w:r>
            <w:r w:rsidR="0061486F">
              <w:rPr>
                <w:rFonts w:ascii="Calibri" w:hAnsi="Calibri" w:cs="Calibri"/>
              </w:rPr>
              <w:t>children</w:t>
            </w:r>
            <w:r w:rsidRPr="00DC3EA1">
              <w:rPr>
                <w:rFonts w:ascii="Calibri" w:hAnsi="Calibri" w:cs="Calibri"/>
              </w:rPr>
              <w:t xml:space="preserve">. Typically, the support they provide (following specialist advice if needed) reduces barriers to their learning and/or well-being. </w:t>
            </w:r>
          </w:p>
        </w:tc>
        <w:tc>
          <w:tcPr>
            <w:tcW w:w="6946" w:type="dxa"/>
          </w:tcPr>
          <w:p w:rsidRPr="00A028BB" w:rsidR="00F85043" w:rsidP="00A028BB" w:rsidRDefault="00F85043" w14:paraId="4878EA89" w14:textId="77777777">
            <w:pPr>
              <w:pStyle w:val="ListParagraph"/>
              <w:numPr>
                <w:ilvl w:val="0"/>
                <w:numId w:val="29"/>
              </w:numPr>
              <w:ind w:left="360"/>
              <w:rPr>
                <w:rFonts w:ascii="Calibri" w:hAnsi="Calibri" w:cs="Calibri"/>
              </w:rPr>
            </w:pPr>
          </w:p>
        </w:tc>
        <w:tc>
          <w:tcPr>
            <w:tcW w:w="3544" w:type="dxa"/>
          </w:tcPr>
          <w:p w:rsidRPr="00A028BB" w:rsidR="00F85043" w:rsidP="00A028BB" w:rsidRDefault="00F85043" w14:paraId="61CA6063" w14:textId="77777777">
            <w:pPr>
              <w:pStyle w:val="ListParagraph"/>
              <w:numPr>
                <w:ilvl w:val="0"/>
                <w:numId w:val="29"/>
              </w:numPr>
              <w:ind w:left="360"/>
              <w:rPr>
                <w:rFonts w:ascii="Calibri" w:hAnsi="Calibri" w:cs="Calibri"/>
              </w:rPr>
            </w:pPr>
          </w:p>
        </w:tc>
      </w:tr>
      <w:tr w:rsidRPr="00DC3EA1" w:rsidR="00F85043" w:rsidTr="00F85043" w14:paraId="0984A86C" w14:textId="7718DBD6">
        <w:tc>
          <w:tcPr>
            <w:tcW w:w="4673" w:type="dxa"/>
          </w:tcPr>
          <w:p w:rsidRPr="00DC3EA1" w:rsidR="00F85043" w:rsidP="00066AAB" w:rsidRDefault="005B4514" w14:paraId="3BA7C7FF" w14:textId="4825EA50">
            <w:pPr>
              <w:numPr>
                <w:ilvl w:val="0"/>
                <w:numId w:val="1"/>
              </w:numPr>
              <w:spacing w:after="75"/>
              <w:ind w:left="360"/>
              <w:rPr>
                <w:rFonts w:ascii="Calibri" w:hAnsi="Calibri" w:eastAsia="Times New Roman" w:cs="Calibri"/>
                <w:color w:val="0B0C0C"/>
                <w:kern w:val="0"/>
                <w:lang w:eastAsia="en-GB"/>
                <w14:ligatures w14:val="none"/>
              </w:rPr>
            </w:pPr>
            <w:r>
              <w:t>Leaders ask for and implement advice from specialists and external partners, when needed.</w:t>
            </w:r>
          </w:p>
        </w:tc>
        <w:tc>
          <w:tcPr>
            <w:tcW w:w="6946" w:type="dxa"/>
          </w:tcPr>
          <w:p w:rsidRPr="00DC3EA1" w:rsidR="00F85043" w:rsidRDefault="00F85043" w14:paraId="2EB047C5" w14:textId="77777777">
            <w:pPr>
              <w:rPr>
                <w:rFonts w:ascii="Calibri" w:hAnsi="Calibri" w:cs="Calibri"/>
              </w:rPr>
            </w:pPr>
          </w:p>
        </w:tc>
        <w:tc>
          <w:tcPr>
            <w:tcW w:w="3544" w:type="dxa"/>
          </w:tcPr>
          <w:p w:rsidRPr="00DC3EA1" w:rsidR="00F85043" w:rsidRDefault="00F85043" w14:paraId="3BBE2B01" w14:textId="77777777">
            <w:pPr>
              <w:rPr>
                <w:rFonts w:ascii="Calibri" w:hAnsi="Calibri" w:cs="Calibri"/>
              </w:rPr>
            </w:pPr>
          </w:p>
        </w:tc>
      </w:tr>
      <w:tr w:rsidRPr="00DC3EA1" w:rsidR="00F85043" w:rsidTr="00F85043" w14:paraId="4D17C22D" w14:textId="3C4FBCFA">
        <w:tc>
          <w:tcPr>
            <w:tcW w:w="4673" w:type="dxa"/>
          </w:tcPr>
          <w:p w:rsidRPr="00DC3EA1" w:rsidR="00F85043" w:rsidP="00066AAB" w:rsidRDefault="005B4514" w14:paraId="6973A912" w14:textId="5082F022">
            <w:pPr>
              <w:numPr>
                <w:ilvl w:val="0"/>
                <w:numId w:val="1"/>
              </w:numPr>
              <w:spacing w:after="75"/>
              <w:ind w:left="360"/>
              <w:rPr>
                <w:rFonts w:ascii="Calibri" w:hAnsi="Calibri" w:eastAsia="Times New Roman" w:cs="Calibri"/>
                <w:color w:val="0B0C0C"/>
                <w:kern w:val="0"/>
                <w:lang w:eastAsia="en-GB"/>
                <w14:ligatures w14:val="none"/>
              </w:rPr>
            </w:pPr>
            <w:r>
              <w:t>Leaders take a graduated approach (as explained earlier), which means that children’s SEND needs are generally met well. Practitioners receive suitable training and support to implement this approach.</w:t>
            </w:r>
          </w:p>
        </w:tc>
        <w:tc>
          <w:tcPr>
            <w:tcW w:w="6946" w:type="dxa"/>
          </w:tcPr>
          <w:p w:rsidRPr="00DC3EA1" w:rsidR="00F85043" w:rsidRDefault="00F85043" w14:paraId="152A0131" w14:textId="77777777">
            <w:pPr>
              <w:rPr>
                <w:rFonts w:ascii="Calibri" w:hAnsi="Calibri" w:cs="Calibri"/>
              </w:rPr>
            </w:pPr>
          </w:p>
        </w:tc>
        <w:tc>
          <w:tcPr>
            <w:tcW w:w="3544" w:type="dxa"/>
          </w:tcPr>
          <w:p w:rsidRPr="00DC3EA1" w:rsidR="00F85043" w:rsidRDefault="00F85043" w14:paraId="077C7817" w14:textId="77777777">
            <w:pPr>
              <w:rPr>
                <w:rFonts w:ascii="Calibri" w:hAnsi="Calibri" w:cs="Calibri"/>
              </w:rPr>
            </w:pPr>
          </w:p>
        </w:tc>
      </w:tr>
      <w:tr w:rsidRPr="00DC3EA1" w:rsidR="00F85043" w:rsidTr="00F85043" w14:paraId="2F7DEBFB" w14:textId="59A349FF">
        <w:tc>
          <w:tcPr>
            <w:tcW w:w="4673" w:type="dxa"/>
          </w:tcPr>
          <w:p w:rsidRPr="00DC3EA1" w:rsidR="00F85043" w:rsidP="00066AAB" w:rsidRDefault="00915A7C" w14:paraId="3965F98E" w14:textId="7A82CC2D">
            <w:pPr>
              <w:numPr>
                <w:ilvl w:val="0"/>
                <w:numId w:val="1"/>
              </w:numPr>
              <w:spacing w:after="75"/>
              <w:ind w:left="360"/>
              <w:rPr>
                <w:rFonts w:ascii="Calibri" w:hAnsi="Calibri" w:eastAsia="Times New Roman" w:cs="Calibri"/>
                <w:color w:val="0B0C0C"/>
                <w:kern w:val="0"/>
                <w:lang w:eastAsia="en-GB"/>
                <w14:ligatures w14:val="none"/>
              </w:rPr>
            </w:pPr>
            <w:r>
              <w:t>Leaders have a secure understanding of these children’s needs and progress. They use appropriate evidence to inform their decisions about the EYPP, which has a positive impact on reducing barriers to learning and/or well-being that these children face.</w:t>
            </w:r>
          </w:p>
        </w:tc>
        <w:tc>
          <w:tcPr>
            <w:tcW w:w="6946" w:type="dxa"/>
          </w:tcPr>
          <w:p w:rsidRPr="00DC3EA1" w:rsidR="00F85043" w:rsidRDefault="00F85043" w14:paraId="182386FE" w14:textId="77777777">
            <w:pPr>
              <w:rPr>
                <w:rFonts w:ascii="Calibri" w:hAnsi="Calibri" w:cs="Calibri"/>
              </w:rPr>
            </w:pPr>
          </w:p>
        </w:tc>
        <w:tc>
          <w:tcPr>
            <w:tcW w:w="3544" w:type="dxa"/>
          </w:tcPr>
          <w:p w:rsidRPr="00DC3EA1" w:rsidR="00F85043" w:rsidRDefault="00F85043" w14:paraId="25FE7FEA" w14:textId="77777777">
            <w:pPr>
              <w:rPr>
                <w:rFonts w:ascii="Calibri" w:hAnsi="Calibri" w:cs="Calibri"/>
              </w:rPr>
            </w:pPr>
          </w:p>
        </w:tc>
      </w:tr>
      <w:tr w:rsidRPr="00DC3EA1" w:rsidR="00F85043" w:rsidTr="00F85043" w14:paraId="58775C16" w14:textId="555ED294">
        <w:tc>
          <w:tcPr>
            <w:tcW w:w="4673" w:type="dxa"/>
          </w:tcPr>
          <w:p w:rsidRPr="00DC3EA1" w:rsidR="00F85043" w:rsidP="00066AAB" w:rsidRDefault="003743AA" w14:paraId="245BA8CC" w14:textId="0540A5B8">
            <w:pPr>
              <w:numPr>
                <w:ilvl w:val="0"/>
                <w:numId w:val="1"/>
              </w:numPr>
              <w:spacing w:after="75"/>
              <w:ind w:left="360"/>
              <w:rPr>
                <w:rFonts w:ascii="Calibri" w:hAnsi="Calibri" w:eastAsia="Times New Roman" w:cs="Calibri"/>
                <w:color w:val="0B0C0C"/>
                <w:kern w:val="0"/>
                <w:lang w:eastAsia="en-GB"/>
                <w14:ligatures w14:val="none"/>
              </w:rPr>
            </w:pPr>
            <w:r>
              <w:t>When required, the identified SENCo has the knowledge, understanding and skills to make a positive difference for children with SEND.</w:t>
            </w:r>
          </w:p>
        </w:tc>
        <w:tc>
          <w:tcPr>
            <w:tcW w:w="6946" w:type="dxa"/>
          </w:tcPr>
          <w:p w:rsidRPr="00DC3EA1" w:rsidR="00F85043" w:rsidRDefault="00F85043" w14:paraId="6B67584C" w14:textId="77777777">
            <w:pPr>
              <w:rPr>
                <w:rFonts w:ascii="Calibri" w:hAnsi="Calibri" w:cs="Calibri"/>
              </w:rPr>
            </w:pPr>
          </w:p>
        </w:tc>
        <w:tc>
          <w:tcPr>
            <w:tcW w:w="3544" w:type="dxa"/>
          </w:tcPr>
          <w:p w:rsidRPr="00DC3EA1" w:rsidR="00F85043" w:rsidRDefault="00F85043" w14:paraId="76B352AB" w14:textId="77777777">
            <w:pPr>
              <w:rPr>
                <w:rFonts w:ascii="Calibri" w:hAnsi="Calibri" w:cs="Calibri"/>
              </w:rPr>
            </w:pPr>
          </w:p>
        </w:tc>
      </w:tr>
      <w:tr w:rsidRPr="00DC3EA1" w:rsidR="00F85043" w:rsidTr="00F85043" w14:paraId="45E9D5B9" w14:textId="2EA950E2">
        <w:tc>
          <w:tcPr>
            <w:tcW w:w="4673" w:type="dxa"/>
          </w:tcPr>
          <w:p w:rsidRPr="00DC3EA1" w:rsidR="00F85043" w:rsidP="00066AAB" w:rsidRDefault="003743AA" w14:paraId="0CBBA845" w14:textId="12DA2971">
            <w:pPr>
              <w:numPr>
                <w:ilvl w:val="0"/>
                <w:numId w:val="1"/>
              </w:numPr>
              <w:spacing w:after="75"/>
              <w:ind w:left="360"/>
              <w:rPr>
                <w:rFonts w:ascii="Calibri" w:hAnsi="Calibri" w:eastAsia="Times New Roman" w:cs="Calibri"/>
                <w:color w:val="0B0C0C"/>
                <w:kern w:val="0"/>
                <w:lang w:eastAsia="en-GB"/>
                <w14:ligatures w14:val="none"/>
              </w:rPr>
            </w:pPr>
            <w:r>
              <w:t>Leaders ensure that, when appropriate, local partnership strategies have a positive impact on the children in the setting.</w:t>
            </w:r>
          </w:p>
        </w:tc>
        <w:tc>
          <w:tcPr>
            <w:tcW w:w="6946" w:type="dxa"/>
          </w:tcPr>
          <w:p w:rsidRPr="00DC3EA1" w:rsidR="00F85043" w:rsidRDefault="00F85043" w14:paraId="16332281" w14:textId="77777777">
            <w:pPr>
              <w:rPr>
                <w:rFonts w:ascii="Calibri" w:hAnsi="Calibri" w:cs="Calibri"/>
              </w:rPr>
            </w:pPr>
          </w:p>
        </w:tc>
        <w:tc>
          <w:tcPr>
            <w:tcW w:w="3544" w:type="dxa"/>
          </w:tcPr>
          <w:p w:rsidRPr="00DC3EA1" w:rsidR="00F85043" w:rsidRDefault="00F85043" w14:paraId="42BF749F" w14:textId="77777777">
            <w:pPr>
              <w:rPr>
                <w:rFonts w:ascii="Calibri" w:hAnsi="Calibri" w:cs="Calibri"/>
              </w:rPr>
            </w:pPr>
          </w:p>
        </w:tc>
      </w:tr>
      <w:tr w:rsidRPr="00DC3EA1" w:rsidR="005450F8" w:rsidTr="00FC1ED4" w14:paraId="4606E58F" w14:textId="77777777">
        <w:tc>
          <w:tcPr>
            <w:tcW w:w="15163" w:type="dxa"/>
            <w:gridSpan w:val="3"/>
            <w:shd w:val="clear" w:color="auto" w:fill="DEEAF6" w:themeFill="accent5" w:themeFillTint="33"/>
          </w:tcPr>
          <w:p w:rsidRPr="005450F8" w:rsidR="005450F8" w:rsidRDefault="005450F8" w14:paraId="7BB76767" w14:textId="0C7A1ED2">
            <w:pPr>
              <w:rPr>
                <w:rFonts w:ascii="Calibri" w:hAnsi="Calibri" w:cs="Calibri"/>
                <w:b/>
                <w:bCs/>
              </w:rPr>
            </w:pPr>
            <w:r w:rsidRPr="005450F8">
              <w:rPr>
                <w:b/>
                <w:bCs/>
              </w:rPr>
              <w:t>Strong standard descriptors</w:t>
            </w:r>
          </w:p>
        </w:tc>
      </w:tr>
      <w:tr w:rsidRPr="00DC3EA1" w:rsidR="00F85043" w:rsidTr="00F85043" w14:paraId="6342AD95" w14:textId="77777777">
        <w:tc>
          <w:tcPr>
            <w:tcW w:w="4673" w:type="dxa"/>
          </w:tcPr>
          <w:p w:rsidRPr="00735A2F" w:rsidR="00F85043" w:rsidP="00735A2F" w:rsidRDefault="004F142B" w14:paraId="23295E19" w14:textId="654EE268">
            <w:pPr>
              <w:pStyle w:val="ListParagraph"/>
              <w:numPr>
                <w:ilvl w:val="0"/>
                <w:numId w:val="22"/>
              </w:numPr>
              <w:spacing w:after="75"/>
              <w:ind w:left="360"/>
              <w:rPr>
                <w:rFonts w:ascii="Calibri" w:hAnsi="Calibri" w:cs="Calibri"/>
              </w:rPr>
            </w:pPr>
            <w:r>
              <w:t>Leaders and practitioners consistently make a demonstrable difference to the opportunities and experiences of disadvantaged children, those with SEND, those who are known (or previously known) to children’s social care, and those who may face other barriers to their learning and/or well-being.</w:t>
            </w:r>
          </w:p>
        </w:tc>
        <w:tc>
          <w:tcPr>
            <w:tcW w:w="6946" w:type="dxa"/>
          </w:tcPr>
          <w:p w:rsidRPr="00DC3EA1" w:rsidR="00F85043" w:rsidRDefault="00F85043" w14:paraId="050B9843" w14:textId="77777777">
            <w:pPr>
              <w:rPr>
                <w:rFonts w:ascii="Calibri" w:hAnsi="Calibri" w:cs="Calibri"/>
              </w:rPr>
            </w:pPr>
          </w:p>
        </w:tc>
        <w:tc>
          <w:tcPr>
            <w:tcW w:w="3544" w:type="dxa"/>
          </w:tcPr>
          <w:p w:rsidRPr="00DC3EA1" w:rsidR="00F85043" w:rsidRDefault="00F85043" w14:paraId="28DCF824" w14:textId="77777777">
            <w:pPr>
              <w:rPr>
                <w:rFonts w:ascii="Calibri" w:hAnsi="Calibri" w:cs="Calibri"/>
              </w:rPr>
            </w:pPr>
          </w:p>
        </w:tc>
      </w:tr>
      <w:tr w:rsidRPr="00DC3EA1" w:rsidR="00F85043" w:rsidTr="00F85043" w14:paraId="1F4E3FF0" w14:textId="77777777">
        <w:tc>
          <w:tcPr>
            <w:tcW w:w="4673" w:type="dxa"/>
          </w:tcPr>
          <w:p w:rsidR="00F85043" w:rsidP="00735A2F" w:rsidRDefault="004F142B" w14:paraId="3BA96352" w14:textId="34E1FAA4">
            <w:pPr>
              <w:pStyle w:val="ListParagraph"/>
              <w:numPr>
                <w:ilvl w:val="0"/>
                <w:numId w:val="22"/>
              </w:numPr>
              <w:spacing w:after="75"/>
              <w:ind w:left="360"/>
            </w:pPr>
            <w:r>
              <w:t>Leaders and practitioners are consistent in making sure that the barriers children face are swiftly identified and effectively addressed. They rigorously monitor the progress of children receiving statutory support and those who may also face other barriers to their learning and/or well-being. Adaptations are systematically and skilfully adjusted as needed, so that they make a sustained difference to children’s opportunities and experiences.</w:t>
            </w:r>
          </w:p>
        </w:tc>
        <w:tc>
          <w:tcPr>
            <w:tcW w:w="6946" w:type="dxa"/>
          </w:tcPr>
          <w:p w:rsidRPr="00DC3EA1" w:rsidR="00F85043" w:rsidRDefault="00F85043" w14:paraId="6C54232B" w14:textId="77777777">
            <w:pPr>
              <w:rPr>
                <w:rFonts w:ascii="Calibri" w:hAnsi="Calibri" w:cs="Calibri"/>
              </w:rPr>
            </w:pPr>
          </w:p>
        </w:tc>
        <w:tc>
          <w:tcPr>
            <w:tcW w:w="3544" w:type="dxa"/>
          </w:tcPr>
          <w:p w:rsidRPr="00DC3EA1" w:rsidR="00F85043" w:rsidRDefault="00F85043" w14:paraId="72D6156A" w14:textId="77777777">
            <w:pPr>
              <w:rPr>
                <w:rFonts w:ascii="Calibri" w:hAnsi="Calibri" w:cs="Calibri"/>
              </w:rPr>
            </w:pPr>
          </w:p>
        </w:tc>
      </w:tr>
      <w:tr w:rsidRPr="00DC3EA1" w:rsidR="00F85043" w:rsidTr="00F0435C" w14:paraId="0421B538" w14:textId="3A4A39CF">
        <w:tc>
          <w:tcPr>
            <w:tcW w:w="4673" w:type="dxa"/>
            <w:shd w:val="clear" w:color="auto" w:fill="9CC2E5" w:themeFill="accent5" w:themeFillTint="99"/>
          </w:tcPr>
          <w:p w:rsidR="00F85043" w:rsidP="006C7BF9" w:rsidRDefault="00F85043" w14:paraId="5B7BD99B" w14:textId="77777777">
            <w:pPr>
              <w:pStyle w:val="NormalWeb"/>
              <w:spacing w:before="0" w:beforeAutospacing="0" w:after="0" w:afterAutospacing="0"/>
              <w:rPr>
                <w:rStyle w:val="Strong"/>
                <w:rFonts w:asciiTheme="minorHAnsi" w:hAnsiTheme="minorHAnsi" w:cstheme="minorHAnsi"/>
                <w:sz w:val="22"/>
                <w:szCs w:val="22"/>
              </w:rPr>
            </w:pPr>
            <w:r w:rsidRPr="009D79CE">
              <w:rPr>
                <w:rStyle w:val="Strong"/>
                <w:rFonts w:asciiTheme="minorHAnsi" w:hAnsiTheme="minorHAnsi" w:cstheme="minorHAnsi"/>
                <w:color w:val="0B0C0C"/>
                <w:sz w:val="22"/>
                <w:szCs w:val="22"/>
              </w:rPr>
              <w:t>C</w:t>
            </w:r>
            <w:r w:rsidRPr="009D79CE">
              <w:rPr>
                <w:rStyle w:val="Strong"/>
                <w:rFonts w:asciiTheme="minorHAnsi" w:hAnsiTheme="minorHAnsi" w:cstheme="minorHAnsi"/>
                <w:sz w:val="22"/>
                <w:szCs w:val="22"/>
              </w:rPr>
              <w:t>urriculum and teaching</w:t>
            </w:r>
            <w:r>
              <w:rPr>
                <w:rStyle w:val="Strong"/>
                <w:rFonts w:asciiTheme="minorHAnsi" w:hAnsiTheme="minorHAnsi" w:cstheme="minorHAnsi"/>
                <w:sz w:val="22"/>
                <w:szCs w:val="22"/>
              </w:rPr>
              <w:t xml:space="preserve"> </w:t>
            </w:r>
          </w:p>
          <w:p w:rsidRPr="00806AB0" w:rsidR="00F85043" w:rsidP="006C7BF9" w:rsidRDefault="00F85043" w14:paraId="5FAEB436" w14:textId="03A7E7FF">
            <w:pPr>
              <w:pStyle w:val="NormalWeb"/>
              <w:spacing w:before="0" w:beforeAutospacing="0" w:after="0" w:afterAutospacing="0"/>
              <w:rPr>
                <w:rStyle w:val="Strong"/>
                <w:rFonts w:asciiTheme="minorHAnsi" w:hAnsiTheme="minorHAnsi" w:cstheme="minorHAnsi"/>
                <w:color w:val="0B0C0C"/>
                <w:sz w:val="22"/>
                <w:szCs w:val="22"/>
              </w:rPr>
            </w:pPr>
            <w:r>
              <w:rPr>
                <w:rFonts w:ascii="Calibri" w:hAnsi="Calibri" w:cs="Calibri"/>
                <w:sz w:val="22"/>
                <w:szCs w:val="22"/>
              </w:rPr>
              <w:t>O</w:t>
            </w:r>
            <w:r w:rsidRPr="00806AB0">
              <w:rPr>
                <w:rFonts w:ascii="Calibri" w:hAnsi="Calibri" w:cs="Calibri"/>
                <w:sz w:val="22"/>
                <w:szCs w:val="22"/>
              </w:rPr>
              <w:t xml:space="preserve">ur </w:t>
            </w:r>
            <w:r>
              <w:rPr>
                <w:rFonts w:ascii="Calibri" w:hAnsi="Calibri" w:cs="Calibri"/>
                <w:sz w:val="22"/>
                <w:szCs w:val="22"/>
              </w:rPr>
              <w:t>self-</w:t>
            </w:r>
            <w:r w:rsidRPr="00806AB0">
              <w:rPr>
                <w:rFonts w:ascii="Calibri" w:hAnsi="Calibri" w:cs="Calibri"/>
                <w:sz w:val="22"/>
                <w:szCs w:val="22"/>
              </w:rPr>
              <w:t>assessment =</w:t>
            </w:r>
          </w:p>
        </w:tc>
        <w:tc>
          <w:tcPr>
            <w:tcW w:w="6946" w:type="dxa"/>
            <w:shd w:val="clear" w:color="auto" w:fill="DEEAF6" w:themeFill="accent5" w:themeFillTint="33"/>
          </w:tcPr>
          <w:p w:rsidRPr="00F249B6" w:rsidR="00F85043" w:rsidRDefault="00F85043" w14:paraId="4C4469B0" w14:textId="18CC17AC">
            <w:pPr>
              <w:rPr>
                <w:rFonts w:cstheme="minorHAnsi"/>
                <w:b/>
                <w:bCs/>
              </w:rPr>
            </w:pPr>
            <w:r w:rsidRPr="00F249B6">
              <w:rPr>
                <w:rFonts w:cstheme="minorHAnsi"/>
                <w:b/>
                <w:bCs/>
              </w:rPr>
              <w:t>Strengths and evidence</w:t>
            </w:r>
          </w:p>
        </w:tc>
        <w:tc>
          <w:tcPr>
            <w:tcW w:w="3544" w:type="dxa"/>
            <w:shd w:val="clear" w:color="auto" w:fill="DEEAF6" w:themeFill="accent5" w:themeFillTint="33"/>
          </w:tcPr>
          <w:p w:rsidRPr="00DC3EA1" w:rsidR="00F85043" w:rsidRDefault="00F85043" w14:paraId="62C65715" w14:textId="77777777">
            <w:pPr>
              <w:rPr>
                <w:rFonts w:ascii="Calibri" w:hAnsi="Calibri" w:cs="Calibri"/>
                <w:b/>
                <w:bCs/>
              </w:rPr>
            </w:pPr>
            <w:r w:rsidRPr="00DC3EA1">
              <w:rPr>
                <w:rFonts w:ascii="Calibri" w:hAnsi="Calibri" w:cs="Calibri"/>
                <w:b/>
                <w:bCs/>
              </w:rPr>
              <w:t>Areas for development</w:t>
            </w:r>
          </w:p>
          <w:p w:rsidRPr="00DC3EA1" w:rsidR="00F85043" w:rsidRDefault="00F85043" w14:paraId="77975841" w14:textId="01B9FDAD">
            <w:pPr>
              <w:rPr>
                <w:rFonts w:ascii="Calibri" w:hAnsi="Calibri" w:cs="Calibri"/>
              </w:rPr>
            </w:pPr>
          </w:p>
        </w:tc>
      </w:tr>
      <w:tr w:rsidRPr="00DC3EA1" w:rsidR="00796A42" w:rsidTr="00FC1ED4" w14:paraId="137E5C8C" w14:textId="77777777">
        <w:tc>
          <w:tcPr>
            <w:tcW w:w="15163" w:type="dxa"/>
            <w:gridSpan w:val="3"/>
            <w:shd w:val="clear" w:color="auto" w:fill="DEEAF6" w:themeFill="accent5" w:themeFillTint="33"/>
          </w:tcPr>
          <w:p w:rsidRPr="00DC3EA1" w:rsidR="00796A42" w:rsidRDefault="00796A42" w14:paraId="59E07892" w14:textId="465D59A4">
            <w:pPr>
              <w:rPr>
                <w:rFonts w:ascii="Calibri" w:hAnsi="Calibri" w:cs="Calibri"/>
                <w:b/>
                <w:bCs/>
              </w:rPr>
            </w:pPr>
            <w:r>
              <w:rPr>
                <w:rStyle w:val="Strong"/>
                <w:rFonts w:cstheme="minorHAnsi"/>
                <w:color w:val="0B0C0C"/>
              </w:rPr>
              <w:t>Expected standard descriptors</w:t>
            </w:r>
          </w:p>
        </w:tc>
      </w:tr>
      <w:tr w:rsidRPr="00DC3EA1" w:rsidR="00F85043" w:rsidTr="00F85043" w14:paraId="13887154" w14:textId="5048EC8D">
        <w:tc>
          <w:tcPr>
            <w:tcW w:w="4673" w:type="dxa"/>
          </w:tcPr>
          <w:p w:rsidRPr="00544F4A" w:rsidR="00F85043" w:rsidP="00066AAB" w:rsidRDefault="00544F4A" w14:paraId="31B8F47B" w14:textId="59D08833">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544F4A">
              <w:rPr>
                <w:rFonts w:asciiTheme="minorHAnsi" w:hAnsiTheme="minorHAnsi" w:cstheme="minorHAnsi"/>
                <w:sz w:val="22"/>
                <w:szCs w:val="22"/>
              </w:rPr>
              <w:t>Leaders have an accurate understanding of the quality of the curriculum and teaching in their setting. They have a clear action plan to bring about improvement</w:t>
            </w:r>
            <w:r w:rsidR="009067FD">
              <w:rPr>
                <w:rFonts w:asciiTheme="minorHAnsi" w:hAnsiTheme="minorHAnsi" w:cstheme="minorHAnsi"/>
                <w:sz w:val="22"/>
                <w:szCs w:val="22"/>
              </w:rPr>
              <w:t>.</w:t>
            </w:r>
          </w:p>
        </w:tc>
        <w:tc>
          <w:tcPr>
            <w:tcW w:w="6946" w:type="dxa"/>
          </w:tcPr>
          <w:p w:rsidRPr="00F249B6" w:rsidR="00F85043" w:rsidRDefault="00F85043" w14:paraId="1F87D5BF" w14:textId="77777777">
            <w:pPr>
              <w:rPr>
                <w:rFonts w:cstheme="minorHAnsi"/>
              </w:rPr>
            </w:pPr>
          </w:p>
        </w:tc>
        <w:tc>
          <w:tcPr>
            <w:tcW w:w="3544" w:type="dxa"/>
          </w:tcPr>
          <w:p w:rsidRPr="00DC3EA1" w:rsidR="00F85043" w:rsidRDefault="00F85043" w14:paraId="391FC9AB" w14:textId="77777777">
            <w:pPr>
              <w:rPr>
                <w:rFonts w:ascii="Calibri" w:hAnsi="Calibri" w:cs="Calibri"/>
              </w:rPr>
            </w:pPr>
          </w:p>
        </w:tc>
      </w:tr>
      <w:tr w:rsidRPr="00DC3EA1" w:rsidR="00F85043" w:rsidTr="00F85043" w14:paraId="2F6FB40B" w14:textId="26289989">
        <w:tc>
          <w:tcPr>
            <w:tcW w:w="4673" w:type="dxa"/>
          </w:tcPr>
          <w:p w:rsidRPr="009067FD" w:rsidR="00F85043" w:rsidP="00066AAB" w:rsidRDefault="009067FD" w14:paraId="64C06CAB" w14:textId="04C5FB24">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9067FD">
              <w:rPr>
                <w:rFonts w:asciiTheme="minorHAnsi" w:hAnsiTheme="minorHAnsi" w:cstheme="minorHAnsi"/>
                <w:sz w:val="22"/>
                <w:szCs w:val="22"/>
              </w:rPr>
              <w:t>The curriculum is designed so that, across all areas of learning and development, it is clear what leaders and practitioners want children to know and be able to do. The order in which to teach this, to give children the knowledge and skills they need for their future learning and development, including being ready for school, where appropriate, is also clear.</w:t>
            </w:r>
          </w:p>
        </w:tc>
        <w:tc>
          <w:tcPr>
            <w:tcW w:w="6946" w:type="dxa"/>
          </w:tcPr>
          <w:p w:rsidRPr="00F249B6" w:rsidR="00F85043" w:rsidRDefault="00F85043" w14:paraId="4515C03A" w14:textId="77777777">
            <w:pPr>
              <w:rPr>
                <w:rFonts w:cstheme="minorHAnsi"/>
              </w:rPr>
            </w:pPr>
          </w:p>
        </w:tc>
        <w:tc>
          <w:tcPr>
            <w:tcW w:w="3544" w:type="dxa"/>
          </w:tcPr>
          <w:p w:rsidRPr="00DC3EA1" w:rsidR="00F85043" w:rsidRDefault="00F85043" w14:paraId="6E7C3E52" w14:textId="77777777">
            <w:pPr>
              <w:rPr>
                <w:rFonts w:ascii="Calibri" w:hAnsi="Calibri" w:cs="Calibri"/>
              </w:rPr>
            </w:pPr>
          </w:p>
        </w:tc>
      </w:tr>
      <w:tr w:rsidRPr="00DC3EA1" w:rsidR="00F85043" w:rsidTr="00F85043" w14:paraId="768E5998" w14:textId="7F02F908">
        <w:tc>
          <w:tcPr>
            <w:tcW w:w="4673" w:type="dxa"/>
          </w:tcPr>
          <w:p w:rsidRPr="005409E4" w:rsidR="00F85043" w:rsidP="00066AAB" w:rsidRDefault="005409E4" w14:paraId="6F98CCBA" w14:textId="713606B0">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5409E4">
              <w:rPr>
                <w:rFonts w:asciiTheme="minorHAnsi" w:hAnsiTheme="minorHAnsi" w:cstheme="minorHAnsi"/>
                <w:sz w:val="22"/>
                <w:szCs w:val="22"/>
              </w:rPr>
              <w:t>The curriculum is an entitlement for every child. Leaders take effective action to make sure that children access an equally ambitious curriculum. This includes those attending part time or attending more than one setting, disadvantaged children, those with SEND, those who are known (or previously known) to children’s social care, and those who may face other barriers to their learning and/or well</w:t>
            </w:r>
            <w:r>
              <w:rPr>
                <w:rFonts w:asciiTheme="minorHAnsi" w:hAnsiTheme="minorHAnsi" w:cstheme="minorHAnsi"/>
                <w:sz w:val="22"/>
                <w:szCs w:val="22"/>
              </w:rPr>
              <w:t>-being.</w:t>
            </w:r>
          </w:p>
        </w:tc>
        <w:tc>
          <w:tcPr>
            <w:tcW w:w="6946" w:type="dxa"/>
          </w:tcPr>
          <w:p w:rsidRPr="00F249B6" w:rsidR="00F85043" w:rsidRDefault="00F85043" w14:paraId="53F2DD5A" w14:textId="77777777">
            <w:pPr>
              <w:rPr>
                <w:rFonts w:cstheme="minorHAnsi"/>
              </w:rPr>
            </w:pPr>
          </w:p>
        </w:tc>
        <w:tc>
          <w:tcPr>
            <w:tcW w:w="3544" w:type="dxa"/>
          </w:tcPr>
          <w:p w:rsidRPr="00DC3EA1" w:rsidR="00F85043" w:rsidRDefault="00F85043" w14:paraId="2722A12F" w14:textId="77777777">
            <w:pPr>
              <w:rPr>
                <w:rFonts w:ascii="Calibri" w:hAnsi="Calibri" w:cs="Calibri"/>
              </w:rPr>
            </w:pPr>
          </w:p>
        </w:tc>
      </w:tr>
      <w:tr w:rsidRPr="00DC3EA1" w:rsidR="00F85043" w:rsidTr="00F85043" w14:paraId="2F24B8FC" w14:textId="50EFD104">
        <w:tc>
          <w:tcPr>
            <w:tcW w:w="4673" w:type="dxa"/>
          </w:tcPr>
          <w:p w:rsidRPr="00AE049F" w:rsidR="00F85043" w:rsidP="00066AAB" w:rsidRDefault="00AE049F" w14:paraId="6BB9B1C7" w14:textId="4D9BD88B">
            <w:pPr>
              <w:pStyle w:val="NormalWeb"/>
              <w:numPr>
                <w:ilvl w:val="0"/>
                <w:numId w:val="4"/>
              </w:numPr>
              <w:spacing w:before="0" w:beforeAutospacing="0" w:after="0" w:afterAutospacing="0"/>
              <w:ind w:left="360"/>
              <w:rPr>
                <w:rStyle w:val="Strong"/>
                <w:rFonts w:ascii="Calibri" w:hAnsi="Calibri" w:cs="Calibri"/>
                <w:b w:val="0"/>
                <w:bCs w:val="0"/>
                <w:color w:val="0B0C0C"/>
                <w:sz w:val="22"/>
                <w:szCs w:val="22"/>
              </w:rPr>
            </w:pPr>
            <w:r w:rsidRPr="00AE049F">
              <w:rPr>
                <w:rFonts w:ascii="Calibri" w:hAnsi="Calibri" w:cs="Calibri"/>
                <w:sz w:val="22"/>
                <w:szCs w:val="22"/>
              </w:rPr>
              <w:t>Leaders ensure that the curriculum is typically taught well. They ensure that staff use assessment to check what children know and can do and to prevent children from falling behind. Teaching is tailored to children’s different starting points, needs and stages of development.</w:t>
            </w:r>
          </w:p>
        </w:tc>
        <w:tc>
          <w:tcPr>
            <w:tcW w:w="6946" w:type="dxa"/>
          </w:tcPr>
          <w:p w:rsidRPr="00F249B6" w:rsidR="00F85043" w:rsidRDefault="00F85043" w14:paraId="4DE5FE27" w14:textId="77777777">
            <w:pPr>
              <w:rPr>
                <w:rFonts w:cstheme="minorHAnsi"/>
              </w:rPr>
            </w:pPr>
          </w:p>
        </w:tc>
        <w:tc>
          <w:tcPr>
            <w:tcW w:w="3544" w:type="dxa"/>
          </w:tcPr>
          <w:p w:rsidRPr="00DC3EA1" w:rsidR="00F85043" w:rsidRDefault="00F85043" w14:paraId="0B53F683" w14:textId="77777777">
            <w:pPr>
              <w:rPr>
                <w:rFonts w:ascii="Calibri" w:hAnsi="Calibri" w:cs="Calibri"/>
              </w:rPr>
            </w:pPr>
          </w:p>
        </w:tc>
      </w:tr>
      <w:tr w:rsidRPr="00DC3EA1" w:rsidR="00F85043" w:rsidTr="00F85043" w14:paraId="0E7CECCB" w14:textId="4614C7DA">
        <w:tc>
          <w:tcPr>
            <w:tcW w:w="4673" w:type="dxa"/>
          </w:tcPr>
          <w:p w:rsidRPr="00C72FCE" w:rsidR="00F85043" w:rsidP="00066AAB" w:rsidRDefault="00C72FCE" w14:paraId="38F57E5E" w14:textId="204A42BF">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C72FCE">
              <w:rPr>
                <w:rFonts w:asciiTheme="minorHAnsi" w:hAnsiTheme="minorHAnsi" w:cstheme="minorHAnsi"/>
                <w:sz w:val="22"/>
                <w:szCs w:val="22"/>
              </w:rPr>
              <w:t>Practitioners focus on babies’ and children’s personal, social and emotional development and make sure that they feel safe, secure, stimulated and happy.</w:t>
            </w:r>
          </w:p>
        </w:tc>
        <w:tc>
          <w:tcPr>
            <w:tcW w:w="6946" w:type="dxa"/>
          </w:tcPr>
          <w:p w:rsidRPr="00F249B6" w:rsidR="00F85043" w:rsidRDefault="00F85043" w14:paraId="3CFDA08F" w14:textId="77777777">
            <w:pPr>
              <w:rPr>
                <w:rFonts w:cstheme="minorHAnsi"/>
              </w:rPr>
            </w:pPr>
          </w:p>
        </w:tc>
        <w:tc>
          <w:tcPr>
            <w:tcW w:w="3544" w:type="dxa"/>
          </w:tcPr>
          <w:p w:rsidRPr="00DC3EA1" w:rsidR="00F85043" w:rsidRDefault="00F85043" w14:paraId="69056191" w14:textId="77777777">
            <w:pPr>
              <w:rPr>
                <w:rFonts w:ascii="Calibri" w:hAnsi="Calibri" w:cs="Calibri"/>
              </w:rPr>
            </w:pPr>
          </w:p>
        </w:tc>
      </w:tr>
      <w:tr w:rsidRPr="00DC3EA1" w:rsidR="00F85043" w:rsidTr="00F85043" w14:paraId="223D1337" w14:textId="2656AF4C">
        <w:tc>
          <w:tcPr>
            <w:tcW w:w="4673" w:type="dxa"/>
          </w:tcPr>
          <w:p w:rsidRPr="00170760" w:rsidR="00F85043" w:rsidP="00066AAB" w:rsidRDefault="00170760" w14:paraId="7AB8358C" w14:textId="13F6C9B0">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170760">
              <w:rPr>
                <w:rFonts w:asciiTheme="minorHAnsi" w:hAnsiTheme="minorHAnsi" w:cstheme="minorHAnsi"/>
                <w:sz w:val="22"/>
                <w:szCs w:val="22"/>
              </w:rPr>
              <w:t>There is a sharp focus on developing children’s communication and language and their love of books.</w:t>
            </w:r>
          </w:p>
        </w:tc>
        <w:tc>
          <w:tcPr>
            <w:tcW w:w="6946" w:type="dxa"/>
          </w:tcPr>
          <w:p w:rsidRPr="00F249B6" w:rsidR="00F85043" w:rsidRDefault="00F85043" w14:paraId="07EB261D" w14:textId="77777777">
            <w:pPr>
              <w:rPr>
                <w:rFonts w:cstheme="minorHAnsi"/>
              </w:rPr>
            </w:pPr>
          </w:p>
        </w:tc>
        <w:tc>
          <w:tcPr>
            <w:tcW w:w="3544" w:type="dxa"/>
          </w:tcPr>
          <w:p w:rsidRPr="00DC3EA1" w:rsidR="00F85043" w:rsidRDefault="00F85043" w14:paraId="6321C986" w14:textId="77777777">
            <w:pPr>
              <w:rPr>
                <w:rFonts w:ascii="Calibri" w:hAnsi="Calibri" w:cs="Calibri"/>
              </w:rPr>
            </w:pPr>
          </w:p>
        </w:tc>
      </w:tr>
      <w:tr w:rsidRPr="00DC3EA1" w:rsidR="00F85043" w:rsidTr="00F85043" w14:paraId="07E3D969" w14:textId="4303CBE9">
        <w:tc>
          <w:tcPr>
            <w:tcW w:w="4673" w:type="dxa"/>
          </w:tcPr>
          <w:p w:rsidRPr="001629B1" w:rsidR="00F85043" w:rsidP="00066AAB" w:rsidRDefault="001629B1" w14:paraId="4FE64B2B" w14:textId="159C4EBC">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1629B1">
              <w:rPr>
                <w:rFonts w:asciiTheme="minorHAnsi" w:hAnsiTheme="minorHAnsi" w:cstheme="minorHAnsi"/>
                <w:sz w:val="22"/>
                <w:szCs w:val="22"/>
              </w:rPr>
              <w:t>Children’s physical development from the earliest age is prioritised, to develop their strength, coordination and positive attitudes to physical activity.</w:t>
            </w:r>
          </w:p>
        </w:tc>
        <w:tc>
          <w:tcPr>
            <w:tcW w:w="6946" w:type="dxa"/>
          </w:tcPr>
          <w:p w:rsidRPr="00F249B6" w:rsidR="00F85043" w:rsidRDefault="00F85043" w14:paraId="50DE80F2" w14:textId="77777777">
            <w:pPr>
              <w:rPr>
                <w:rFonts w:cstheme="minorHAnsi"/>
              </w:rPr>
            </w:pPr>
          </w:p>
        </w:tc>
        <w:tc>
          <w:tcPr>
            <w:tcW w:w="3544" w:type="dxa"/>
          </w:tcPr>
          <w:p w:rsidRPr="00DC3EA1" w:rsidR="00F85043" w:rsidRDefault="00F85043" w14:paraId="030592F8" w14:textId="77777777">
            <w:pPr>
              <w:rPr>
                <w:rFonts w:ascii="Calibri" w:hAnsi="Calibri" w:cs="Calibri"/>
              </w:rPr>
            </w:pPr>
          </w:p>
        </w:tc>
      </w:tr>
      <w:tr w:rsidRPr="00DC3EA1" w:rsidR="00F85043" w:rsidTr="00F85043" w14:paraId="4E58AB2A" w14:textId="6B8FAA9B">
        <w:tc>
          <w:tcPr>
            <w:tcW w:w="4673" w:type="dxa"/>
          </w:tcPr>
          <w:p w:rsidRPr="001629B1" w:rsidR="00F85043" w:rsidP="00066AAB" w:rsidRDefault="001629B1" w14:paraId="248EF593" w14:textId="34FEFA9D">
            <w:pPr>
              <w:pStyle w:val="NormalWeb"/>
              <w:numPr>
                <w:ilvl w:val="0"/>
                <w:numId w:val="4"/>
              </w:numPr>
              <w:spacing w:before="0" w:beforeAutospacing="0" w:after="0" w:afterAutospacing="0"/>
              <w:ind w:left="360"/>
              <w:rPr>
                <w:rStyle w:val="Strong"/>
                <w:rFonts w:asciiTheme="minorHAnsi" w:hAnsiTheme="minorHAnsi" w:cstheme="minorHAnsi"/>
                <w:b w:val="0"/>
                <w:bCs w:val="0"/>
                <w:color w:val="0B0C0C"/>
                <w:sz w:val="22"/>
                <w:szCs w:val="22"/>
              </w:rPr>
            </w:pPr>
            <w:r w:rsidRPr="001629B1">
              <w:rPr>
                <w:rFonts w:asciiTheme="minorHAnsi" w:hAnsiTheme="minorHAnsi" w:cstheme="minorHAnsi"/>
                <w:sz w:val="22"/>
                <w:szCs w:val="22"/>
              </w:rPr>
              <w:t>Practitioners teach mathematics explicitly. They focus on the mathematical learning that promotes children’s confidence in and enjoyment of mathematics.</w:t>
            </w:r>
          </w:p>
        </w:tc>
        <w:tc>
          <w:tcPr>
            <w:tcW w:w="6946" w:type="dxa"/>
          </w:tcPr>
          <w:p w:rsidRPr="00F249B6" w:rsidR="00F85043" w:rsidRDefault="00F85043" w14:paraId="1B6FC878" w14:textId="77777777">
            <w:pPr>
              <w:rPr>
                <w:rFonts w:cstheme="minorHAnsi"/>
              </w:rPr>
            </w:pPr>
          </w:p>
        </w:tc>
        <w:tc>
          <w:tcPr>
            <w:tcW w:w="3544" w:type="dxa"/>
          </w:tcPr>
          <w:p w:rsidRPr="00DC3EA1" w:rsidR="00F85043" w:rsidRDefault="00F85043" w14:paraId="2A6A62AF" w14:textId="77777777">
            <w:pPr>
              <w:rPr>
                <w:rFonts w:ascii="Calibri" w:hAnsi="Calibri" w:cs="Calibri"/>
              </w:rPr>
            </w:pPr>
          </w:p>
        </w:tc>
      </w:tr>
      <w:tr w:rsidRPr="00DC3EA1" w:rsidR="001629B1" w:rsidTr="00F85043" w14:paraId="08634B05" w14:textId="77777777">
        <w:tc>
          <w:tcPr>
            <w:tcW w:w="4673" w:type="dxa"/>
          </w:tcPr>
          <w:p w:rsidRPr="004F2A8B" w:rsidR="001629B1" w:rsidP="00066AAB" w:rsidRDefault="004F2A8B" w14:paraId="6276E56C" w14:textId="5788DCE2">
            <w:pPr>
              <w:pStyle w:val="NormalWeb"/>
              <w:numPr>
                <w:ilvl w:val="0"/>
                <w:numId w:val="4"/>
              </w:numPr>
              <w:spacing w:before="0" w:beforeAutospacing="0" w:after="0" w:afterAutospacing="0"/>
              <w:ind w:left="360"/>
              <w:rPr>
                <w:rFonts w:asciiTheme="minorHAnsi" w:hAnsiTheme="minorHAnsi" w:cstheme="minorHAnsi"/>
                <w:sz w:val="22"/>
                <w:szCs w:val="22"/>
              </w:rPr>
            </w:pPr>
            <w:r w:rsidRPr="004F2A8B">
              <w:rPr>
                <w:rFonts w:asciiTheme="minorHAnsi" w:hAnsiTheme="minorHAnsi" w:cstheme="minorHAnsi"/>
                <w:sz w:val="22"/>
                <w:szCs w:val="22"/>
              </w:rPr>
              <w:t>The curriculum recognises and promotes equality and diversity. Practitioners support children to reflect on their similarities and to understand what makes them unique.</w:t>
            </w:r>
          </w:p>
        </w:tc>
        <w:tc>
          <w:tcPr>
            <w:tcW w:w="6946" w:type="dxa"/>
          </w:tcPr>
          <w:p w:rsidRPr="00F249B6" w:rsidR="001629B1" w:rsidRDefault="001629B1" w14:paraId="064C4385" w14:textId="77777777">
            <w:pPr>
              <w:rPr>
                <w:rFonts w:cstheme="minorHAnsi"/>
              </w:rPr>
            </w:pPr>
          </w:p>
        </w:tc>
        <w:tc>
          <w:tcPr>
            <w:tcW w:w="3544" w:type="dxa"/>
          </w:tcPr>
          <w:p w:rsidRPr="00DC3EA1" w:rsidR="001629B1" w:rsidRDefault="001629B1" w14:paraId="36C6EC48" w14:textId="77777777">
            <w:pPr>
              <w:rPr>
                <w:rFonts w:ascii="Calibri" w:hAnsi="Calibri" w:cs="Calibri"/>
              </w:rPr>
            </w:pPr>
          </w:p>
        </w:tc>
      </w:tr>
      <w:tr w:rsidRPr="00DC3EA1" w:rsidR="005450F8" w:rsidTr="00FC1ED4" w14:paraId="34113BB8" w14:textId="77777777">
        <w:tc>
          <w:tcPr>
            <w:tcW w:w="15163" w:type="dxa"/>
            <w:gridSpan w:val="3"/>
            <w:shd w:val="clear" w:color="auto" w:fill="DEEAF6" w:themeFill="accent5" w:themeFillTint="33"/>
          </w:tcPr>
          <w:p w:rsidRPr="00DC3EA1" w:rsidR="005450F8" w:rsidRDefault="005450F8" w14:paraId="7C41A162" w14:textId="53ADA6BA">
            <w:pPr>
              <w:rPr>
                <w:rFonts w:ascii="Calibri" w:hAnsi="Calibri" w:cs="Calibri"/>
              </w:rPr>
            </w:pPr>
            <w:r w:rsidRPr="006C7BF9">
              <w:rPr>
                <w:rFonts w:ascii="Calibri" w:hAnsi="Calibri" w:cs="Calibri"/>
                <w:b/>
                <w:bCs/>
              </w:rPr>
              <w:t>Strong Standard descriptors</w:t>
            </w:r>
          </w:p>
        </w:tc>
      </w:tr>
      <w:tr w:rsidRPr="00DC3EA1" w:rsidR="00F85043" w:rsidTr="00F85043" w14:paraId="0E9C0206" w14:textId="77777777">
        <w:tc>
          <w:tcPr>
            <w:tcW w:w="4673" w:type="dxa"/>
          </w:tcPr>
          <w:p w:rsidRPr="00C75430" w:rsidR="00F85043" w:rsidP="0008124D" w:rsidRDefault="00C75430" w14:paraId="390A268D" w14:textId="7B073999">
            <w:pPr>
              <w:pStyle w:val="NormalWeb"/>
              <w:numPr>
                <w:ilvl w:val="0"/>
                <w:numId w:val="23"/>
              </w:numPr>
              <w:spacing w:before="0" w:beforeAutospacing="0" w:after="0" w:afterAutospacing="0"/>
              <w:ind w:left="360"/>
              <w:rPr>
                <w:rFonts w:asciiTheme="minorHAnsi" w:hAnsiTheme="minorHAnsi" w:cstheme="minorHAnsi"/>
                <w:b/>
                <w:bCs/>
                <w:sz w:val="22"/>
                <w:szCs w:val="22"/>
              </w:rPr>
            </w:pPr>
            <w:r w:rsidRPr="00C75430">
              <w:rPr>
                <w:rFonts w:asciiTheme="minorHAnsi" w:hAnsiTheme="minorHAnsi" w:cstheme="minorHAnsi"/>
                <w:sz w:val="22"/>
                <w:szCs w:val="22"/>
              </w:rPr>
              <w:t>Leaders ensure that the curriculum is inclusive and of consistently high quality. High expectations for what children can achieve are embedded across the provision. This includes during routines and at all times of the day, such as when children’s care needs are being dealt with, at mealtimes and when tidying up.</w:t>
            </w:r>
          </w:p>
        </w:tc>
        <w:tc>
          <w:tcPr>
            <w:tcW w:w="6946" w:type="dxa"/>
          </w:tcPr>
          <w:p w:rsidRPr="00F249B6" w:rsidR="00F85043" w:rsidRDefault="00F85043" w14:paraId="5575C683" w14:textId="77777777">
            <w:pPr>
              <w:rPr>
                <w:rFonts w:cstheme="minorHAnsi"/>
              </w:rPr>
            </w:pPr>
          </w:p>
        </w:tc>
        <w:tc>
          <w:tcPr>
            <w:tcW w:w="3544" w:type="dxa"/>
          </w:tcPr>
          <w:p w:rsidRPr="00DC3EA1" w:rsidR="00F85043" w:rsidRDefault="00F85043" w14:paraId="224D80E2" w14:textId="77777777">
            <w:pPr>
              <w:rPr>
                <w:rFonts w:ascii="Calibri" w:hAnsi="Calibri" w:cs="Calibri"/>
              </w:rPr>
            </w:pPr>
          </w:p>
        </w:tc>
      </w:tr>
      <w:tr w:rsidRPr="00DC3EA1" w:rsidR="00F85043" w:rsidTr="00F85043" w14:paraId="0A4A068F" w14:textId="77777777">
        <w:tc>
          <w:tcPr>
            <w:tcW w:w="4673" w:type="dxa"/>
          </w:tcPr>
          <w:p w:rsidRPr="00795CCA" w:rsidR="00F85043" w:rsidP="0008124D" w:rsidRDefault="00795CCA" w14:paraId="28FD325D" w14:textId="0B1068B4">
            <w:pPr>
              <w:pStyle w:val="NormalWeb"/>
              <w:numPr>
                <w:ilvl w:val="0"/>
                <w:numId w:val="23"/>
              </w:numPr>
              <w:spacing w:before="0" w:beforeAutospacing="0" w:after="0" w:afterAutospacing="0"/>
              <w:ind w:left="360"/>
              <w:rPr>
                <w:rFonts w:asciiTheme="minorHAnsi" w:hAnsiTheme="minorHAnsi" w:cstheme="minorHAnsi"/>
                <w:b/>
                <w:bCs/>
                <w:sz w:val="22"/>
                <w:szCs w:val="22"/>
              </w:rPr>
            </w:pPr>
            <w:r w:rsidRPr="00795CCA">
              <w:rPr>
                <w:rFonts w:asciiTheme="minorHAnsi" w:hAnsiTheme="minorHAnsi" w:cstheme="minorHAnsi"/>
                <w:sz w:val="22"/>
                <w:szCs w:val="22"/>
              </w:rPr>
              <w:t>Leaders ensure that highly effective teaching and interactions with children are embedded. Practitioners understand that every interaction they have with a child is an opportunity for teaching and learning. They are skilled at teaching and adapting in the moment to respond to children’s emerging thinking, their curiosity and any misunderstanding, providing opportunities for children to excel in their learning and development.</w:t>
            </w:r>
          </w:p>
        </w:tc>
        <w:tc>
          <w:tcPr>
            <w:tcW w:w="6946" w:type="dxa"/>
          </w:tcPr>
          <w:p w:rsidRPr="00F249B6" w:rsidR="00F85043" w:rsidRDefault="00F85043" w14:paraId="1481D954" w14:textId="77777777">
            <w:pPr>
              <w:rPr>
                <w:rFonts w:cstheme="minorHAnsi"/>
              </w:rPr>
            </w:pPr>
          </w:p>
        </w:tc>
        <w:tc>
          <w:tcPr>
            <w:tcW w:w="3544" w:type="dxa"/>
          </w:tcPr>
          <w:p w:rsidRPr="00DC3EA1" w:rsidR="00F85043" w:rsidRDefault="00F85043" w14:paraId="547B2030" w14:textId="77777777">
            <w:pPr>
              <w:rPr>
                <w:rFonts w:ascii="Calibri" w:hAnsi="Calibri" w:cs="Calibri"/>
              </w:rPr>
            </w:pPr>
          </w:p>
        </w:tc>
      </w:tr>
      <w:tr w:rsidRPr="00DC3EA1" w:rsidR="00F85043" w:rsidTr="00F85043" w14:paraId="351E1CE1" w14:textId="77777777">
        <w:tc>
          <w:tcPr>
            <w:tcW w:w="4673" w:type="dxa"/>
          </w:tcPr>
          <w:p w:rsidRPr="00795CCA" w:rsidR="00F85043" w:rsidP="007212FA" w:rsidRDefault="00795CCA" w14:paraId="2494E903" w14:textId="740DA2A3">
            <w:pPr>
              <w:pStyle w:val="NormalWeb"/>
              <w:numPr>
                <w:ilvl w:val="0"/>
                <w:numId w:val="23"/>
              </w:numPr>
              <w:spacing w:before="0" w:beforeAutospacing="0" w:after="0" w:afterAutospacing="0"/>
              <w:ind w:left="360"/>
              <w:rPr>
                <w:rFonts w:asciiTheme="minorHAnsi" w:hAnsiTheme="minorHAnsi" w:cstheme="minorHAnsi"/>
                <w:b/>
                <w:bCs/>
                <w:sz w:val="22"/>
                <w:szCs w:val="22"/>
              </w:rPr>
            </w:pPr>
            <w:r w:rsidRPr="00795CCA">
              <w:rPr>
                <w:rFonts w:asciiTheme="minorHAnsi" w:hAnsiTheme="minorHAnsi" w:cstheme="minorHAnsi"/>
                <w:sz w:val="22"/>
                <w:szCs w:val="22"/>
              </w:rPr>
              <w:t>Leaders’ and practitioners’ approach to the curriculum and teaching is focused accurately on children’s age-appropriate learning and development needs and draws on expert guidance.</w:t>
            </w:r>
          </w:p>
        </w:tc>
        <w:tc>
          <w:tcPr>
            <w:tcW w:w="6946" w:type="dxa"/>
          </w:tcPr>
          <w:p w:rsidRPr="00F249B6" w:rsidR="00F85043" w:rsidRDefault="00F85043" w14:paraId="7FBBEEEE" w14:textId="77777777">
            <w:pPr>
              <w:rPr>
                <w:rFonts w:cstheme="minorHAnsi"/>
              </w:rPr>
            </w:pPr>
          </w:p>
        </w:tc>
        <w:tc>
          <w:tcPr>
            <w:tcW w:w="3544" w:type="dxa"/>
          </w:tcPr>
          <w:p w:rsidRPr="00DC3EA1" w:rsidR="00F85043" w:rsidRDefault="00F85043" w14:paraId="67CA0E4E" w14:textId="77777777">
            <w:pPr>
              <w:rPr>
                <w:rFonts w:ascii="Calibri" w:hAnsi="Calibri" w:cs="Calibri"/>
              </w:rPr>
            </w:pPr>
          </w:p>
        </w:tc>
      </w:tr>
      <w:tr w:rsidRPr="00DC3EA1" w:rsidR="00F85043" w:rsidTr="00F85043" w14:paraId="3EA50926" w14:textId="77777777">
        <w:tc>
          <w:tcPr>
            <w:tcW w:w="4673" w:type="dxa"/>
          </w:tcPr>
          <w:p w:rsidRPr="00D14D12" w:rsidR="00F85043" w:rsidP="007212FA" w:rsidRDefault="00D14D12" w14:paraId="6CC2537F" w14:textId="2625BA7D">
            <w:pPr>
              <w:pStyle w:val="NormalWeb"/>
              <w:numPr>
                <w:ilvl w:val="0"/>
                <w:numId w:val="23"/>
              </w:numPr>
              <w:spacing w:before="0" w:beforeAutospacing="0" w:after="0" w:afterAutospacing="0"/>
              <w:ind w:left="360"/>
              <w:rPr>
                <w:rFonts w:ascii="Calibri" w:hAnsi="Calibri" w:cs="Calibri"/>
                <w:b/>
                <w:bCs/>
                <w:sz w:val="22"/>
                <w:szCs w:val="22"/>
              </w:rPr>
            </w:pPr>
            <w:r w:rsidRPr="00D14D12">
              <w:rPr>
                <w:rFonts w:ascii="Calibri" w:hAnsi="Calibri" w:cs="Calibri"/>
                <w:sz w:val="22"/>
                <w:szCs w:val="22"/>
              </w:rPr>
              <w:t xml:space="preserve">Leaders and practitioners use teaching and high-quality interactions with children to assess what children know and can do. As a result, practitioners quickly identify any gaps in children’s learning, as well as any children who may face other barriers to their </w:t>
            </w:r>
            <w:proofErr w:type="gramStart"/>
            <w:r w:rsidRPr="00D14D12">
              <w:rPr>
                <w:rFonts w:ascii="Calibri" w:hAnsi="Calibri" w:cs="Calibri"/>
                <w:sz w:val="22"/>
                <w:szCs w:val="22"/>
              </w:rPr>
              <w:t>learning, and</w:t>
            </w:r>
            <w:proofErr w:type="gramEnd"/>
            <w:r w:rsidRPr="00D14D12">
              <w:rPr>
                <w:rFonts w:ascii="Calibri" w:hAnsi="Calibri" w:cs="Calibri"/>
                <w:sz w:val="22"/>
                <w:szCs w:val="22"/>
              </w:rPr>
              <w:t xml:space="preserve"> take prompt and highly effective action.</w:t>
            </w:r>
          </w:p>
        </w:tc>
        <w:tc>
          <w:tcPr>
            <w:tcW w:w="6946" w:type="dxa"/>
          </w:tcPr>
          <w:p w:rsidRPr="00F249B6" w:rsidR="00F85043" w:rsidRDefault="00F85043" w14:paraId="760A2CB7" w14:textId="77777777">
            <w:pPr>
              <w:rPr>
                <w:rFonts w:cstheme="minorHAnsi"/>
              </w:rPr>
            </w:pPr>
          </w:p>
        </w:tc>
        <w:tc>
          <w:tcPr>
            <w:tcW w:w="3544" w:type="dxa"/>
          </w:tcPr>
          <w:p w:rsidRPr="00DC3EA1" w:rsidR="00F85043" w:rsidRDefault="00F85043" w14:paraId="7F6252CD" w14:textId="77777777">
            <w:pPr>
              <w:rPr>
                <w:rFonts w:ascii="Calibri" w:hAnsi="Calibri" w:cs="Calibri"/>
              </w:rPr>
            </w:pPr>
          </w:p>
        </w:tc>
      </w:tr>
      <w:tr w:rsidRPr="00DC3EA1" w:rsidR="00F85043" w:rsidTr="00F0435C" w14:paraId="0DF6FA7C" w14:textId="59CF5BB5">
        <w:tc>
          <w:tcPr>
            <w:tcW w:w="4673" w:type="dxa"/>
            <w:shd w:val="clear" w:color="auto" w:fill="9CC2E5" w:themeFill="accent5" w:themeFillTint="99"/>
          </w:tcPr>
          <w:p w:rsidRPr="009D79CE" w:rsidR="00F85043" w:rsidP="00CA4FA6" w:rsidRDefault="00F85043" w14:paraId="1BB02506" w14:textId="3C5C4F05">
            <w:pPr>
              <w:pStyle w:val="NormalWeb"/>
              <w:spacing w:before="0" w:beforeAutospacing="0" w:after="0" w:afterAutospacing="0"/>
              <w:rPr>
                <w:rStyle w:val="Strong"/>
                <w:rFonts w:asciiTheme="minorHAnsi" w:hAnsiTheme="minorHAnsi" w:cstheme="minorHAnsi"/>
                <w:color w:val="0B0C0C"/>
                <w:sz w:val="22"/>
                <w:szCs w:val="22"/>
              </w:rPr>
            </w:pPr>
            <w:r w:rsidRPr="009D79CE">
              <w:rPr>
                <w:rStyle w:val="Strong"/>
                <w:rFonts w:asciiTheme="minorHAnsi" w:hAnsiTheme="minorHAnsi" w:cstheme="minorHAnsi"/>
                <w:color w:val="0B0C0C"/>
                <w:sz w:val="22"/>
                <w:szCs w:val="22"/>
              </w:rPr>
              <w:t xml:space="preserve">Achievement </w:t>
            </w:r>
          </w:p>
          <w:p w:rsidRPr="00806AB0" w:rsidR="00F85043" w:rsidP="00CA4FA6" w:rsidRDefault="00F85043" w14:paraId="5CC247B9" w14:textId="14824074">
            <w:pPr>
              <w:pStyle w:val="NormalWeb"/>
              <w:spacing w:before="0" w:beforeAutospacing="0" w:after="0" w:afterAutospacing="0"/>
              <w:rPr>
                <w:rStyle w:val="Strong"/>
                <w:rFonts w:asciiTheme="minorHAnsi" w:hAnsiTheme="minorHAnsi" w:cstheme="minorHAnsi"/>
                <w:color w:val="0B0C0C"/>
                <w:sz w:val="22"/>
                <w:szCs w:val="22"/>
              </w:rPr>
            </w:pPr>
            <w:r w:rsidRPr="00806AB0">
              <w:rPr>
                <w:rFonts w:ascii="Calibri" w:hAnsi="Calibri" w:cs="Calibri"/>
                <w:sz w:val="22"/>
                <w:szCs w:val="22"/>
              </w:rPr>
              <w:t xml:space="preserve">Our </w:t>
            </w:r>
            <w:r>
              <w:rPr>
                <w:rFonts w:ascii="Calibri" w:hAnsi="Calibri" w:cs="Calibri"/>
                <w:sz w:val="22"/>
                <w:szCs w:val="22"/>
              </w:rPr>
              <w:t>self-</w:t>
            </w:r>
            <w:r w:rsidRPr="00806AB0">
              <w:rPr>
                <w:rFonts w:ascii="Calibri" w:hAnsi="Calibri" w:cs="Calibri"/>
                <w:sz w:val="22"/>
                <w:szCs w:val="22"/>
              </w:rPr>
              <w:t>assessment =</w:t>
            </w:r>
          </w:p>
        </w:tc>
        <w:tc>
          <w:tcPr>
            <w:tcW w:w="6946" w:type="dxa"/>
            <w:shd w:val="clear" w:color="auto" w:fill="DEEAF6" w:themeFill="accent5" w:themeFillTint="33"/>
          </w:tcPr>
          <w:p w:rsidRPr="00F249B6" w:rsidR="00F85043" w:rsidRDefault="00F85043" w14:paraId="24465C8D" w14:textId="79C74A77">
            <w:pPr>
              <w:rPr>
                <w:rFonts w:cstheme="minorHAnsi"/>
                <w:b/>
                <w:bCs/>
              </w:rPr>
            </w:pPr>
            <w:r w:rsidRPr="00F249B6">
              <w:rPr>
                <w:rFonts w:cstheme="minorHAnsi"/>
                <w:b/>
                <w:bCs/>
              </w:rPr>
              <w:t>Strengths and evidence</w:t>
            </w:r>
          </w:p>
        </w:tc>
        <w:tc>
          <w:tcPr>
            <w:tcW w:w="3544" w:type="dxa"/>
            <w:shd w:val="clear" w:color="auto" w:fill="DEEAF6" w:themeFill="accent5" w:themeFillTint="33"/>
          </w:tcPr>
          <w:p w:rsidRPr="00DC3EA1" w:rsidR="00F85043" w:rsidRDefault="00F85043" w14:paraId="24D781F4" w14:textId="77777777">
            <w:pPr>
              <w:rPr>
                <w:rFonts w:ascii="Calibri" w:hAnsi="Calibri" w:cs="Calibri"/>
                <w:b/>
                <w:bCs/>
              </w:rPr>
            </w:pPr>
            <w:r w:rsidRPr="00DC3EA1">
              <w:rPr>
                <w:rFonts w:ascii="Calibri" w:hAnsi="Calibri" w:cs="Calibri"/>
                <w:b/>
                <w:bCs/>
              </w:rPr>
              <w:t>Areas for development</w:t>
            </w:r>
          </w:p>
          <w:p w:rsidRPr="00DC3EA1" w:rsidR="00F85043" w:rsidRDefault="00F85043" w14:paraId="3A59469E" w14:textId="4A03755B">
            <w:pPr>
              <w:rPr>
                <w:rFonts w:ascii="Calibri" w:hAnsi="Calibri" w:cs="Calibri"/>
                <w:b/>
                <w:bCs/>
              </w:rPr>
            </w:pPr>
          </w:p>
        </w:tc>
      </w:tr>
      <w:tr w:rsidRPr="00DC3EA1" w:rsidR="00796A42" w:rsidTr="00FC1ED4" w14:paraId="5DE01455" w14:textId="77777777">
        <w:tc>
          <w:tcPr>
            <w:tcW w:w="15163" w:type="dxa"/>
            <w:gridSpan w:val="3"/>
            <w:shd w:val="clear" w:color="auto" w:fill="DEEAF6" w:themeFill="accent5" w:themeFillTint="33"/>
          </w:tcPr>
          <w:p w:rsidRPr="00DC3EA1" w:rsidR="00796A42" w:rsidRDefault="00796A42" w14:paraId="26B737B0" w14:textId="2680A0D6">
            <w:pPr>
              <w:rPr>
                <w:rFonts w:ascii="Calibri" w:hAnsi="Calibri" w:cs="Calibri"/>
              </w:rPr>
            </w:pPr>
            <w:r w:rsidRPr="00796A42">
              <w:rPr>
                <w:rFonts w:cstheme="minorHAnsi"/>
                <w:b/>
                <w:bCs/>
              </w:rPr>
              <w:t>Expected standard descriptors</w:t>
            </w:r>
          </w:p>
        </w:tc>
      </w:tr>
      <w:tr w:rsidRPr="00DC3EA1" w:rsidR="00F85043" w:rsidTr="00F85043" w14:paraId="503CA027" w14:textId="73483315">
        <w:tc>
          <w:tcPr>
            <w:tcW w:w="4673" w:type="dxa"/>
          </w:tcPr>
          <w:p w:rsidRPr="00E523DF" w:rsidR="00F85043" w:rsidP="00CB428D" w:rsidRDefault="00E523DF" w14:paraId="05F73EB1" w14:textId="6B64B18C">
            <w:pPr>
              <w:pStyle w:val="NormalWeb"/>
              <w:numPr>
                <w:ilvl w:val="0"/>
                <w:numId w:val="18"/>
              </w:numPr>
              <w:spacing w:before="0" w:beforeAutospacing="0" w:after="0" w:afterAutospacing="0"/>
              <w:ind w:left="360"/>
              <w:rPr>
                <w:rStyle w:val="Strong"/>
                <w:rFonts w:ascii="Calibri" w:hAnsi="Calibri" w:cs="Calibri"/>
                <w:color w:val="0B0C0C"/>
                <w:sz w:val="22"/>
                <w:szCs w:val="22"/>
              </w:rPr>
            </w:pPr>
            <w:r w:rsidRPr="00E523DF">
              <w:rPr>
                <w:rFonts w:ascii="Calibri" w:hAnsi="Calibri" w:cs="Calibri"/>
                <w:sz w:val="22"/>
                <w:szCs w:val="22"/>
              </w:rPr>
              <w:t>Children develop age- and/or stage-appropriate knowledge and skills across the 7 EYFS areas of learning and development as they progress through the curriculum.</w:t>
            </w:r>
          </w:p>
        </w:tc>
        <w:tc>
          <w:tcPr>
            <w:tcW w:w="6946" w:type="dxa"/>
          </w:tcPr>
          <w:p w:rsidRPr="00F249B6" w:rsidR="00F85043" w:rsidRDefault="00F85043" w14:paraId="792CD25B" w14:textId="77777777">
            <w:pPr>
              <w:rPr>
                <w:rFonts w:cstheme="minorHAnsi"/>
              </w:rPr>
            </w:pPr>
          </w:p>
        </w:tc>
        <w:tc>
          <w:tcPr>
            <w:tcW w:w="3544" w:type="dxa"/>
          </w:tcPr>
          <w:p w:rsidRPr="00DC3EA1" w:rsidR="00F85043" w:rsidRDefault="00F85043" w14:paraId="478EE6E4" w14:textId="77777777">
            <w:pPr>
              <w:rPr>
                <w:rFonts w:ascii="Calibri" w:hAnsi="Calibri" w:cs="Calibri"/>
              </w:rPr>
            </w:pPr>
          </w:p>
        </w:tc>
      </w:tr>
      <w:tr w:rsidRPr="00DC3EA1" w:rsidR="00F85043" w:rsidTr="00F85043" w14:paraId="5363A9FD" w14:textId="40EA70D2">
        <w:tc>
          <w:tcPr>
            <w:tcW w:w="4673" w:type="dxa"/>
          </w:tcPr>
          <w:p w:rsidRPr="00BE663A" w:rsidR="00F85043" w:rsidP="00CB428D" w:rsidRDefault="00BE663A" w14:paraId="4FFC89DC" w14:textId="508FD2E3">
            <w:pPr>
              <w:pStyle w:val="NormalWeb"/>
              <w:numPr>
                <w:ilvl w:val="0"/>
                <w:numId w:val="18"/>
              </w:numPr>
              <w:spacing w:before="0" w:beforeAutospacing="0" w:after="0" w:afterAutospacing="0"/>
              <w:ind w:left="360"/>
              <w:rPr>
                <w:rStyle w:val="Strong"/>
                <w:rFonts w:asciiTheme="minorHAnsi" w:hAnsiTheme="minorHAnsi" w:cstheme="minorHAnsi"/>
                <w:color w:val="0B0C0C"/>
                <w:sz w:val="22"/>
                <w:szCs w:val="22"/>
              </w:rPr>
            </w:pPr>
            <w:r w:rsidRPr="00BE663A">
              <w:rPr>
                <w:rFonts w:asciiTheme="minorHAnsi" w:hAnsiTheme="minorHAnsi" w:cstheme="minorHAnsi"/>
                <w:sz w:val="22"/>
                <w:szCs w:val="22"/>
              </w:rPr>
              <w:t>Children are suitably prepared for the next stage of their learning, including school, where relevant.</w:t>
            </w:r>
          </w:p>
        </w:tc>
        <w:tc>
          <w:tcPr>
            <w:tcW w:w="6946" w:type="dxa"/>
          </w:tcPr>
          <w:p w:rsidRPr="00F249B6" w:rsidR="00F85043" w:rsidRDefault="00F85043" w14:paraId="26418DD9" w14:textId="77777777">
            <w:pPr>
              <w:rPr>
                <w:rFonts w:cstheme="minorHAnsi"/>
              </w:rPr>
            </w:pPr>
          </w:p>
        </w:tc>
        <w:tc>
          <w:tcPr>
            <w:tcW w:w="3544" w:type="dxa"/>
          </w:tcPr>
          <w:p w:rsidRPr="00DC3EA1" w:rsidR="00F85043" w:rsidRDefault="00F85043" w14:paraId="3BEB77E7" w14:textId="77777777">
            <w:pPr>
              <w:rPr>
                <w:rFonts w:ascii="Calibri" w:hAnsi="Calibri" w:cs="Calibri"/>
              </w:rPr>
            </w:pPr>
          </w:p>
        </w:tc>
      </w:tr>
      <w:tr w:rsidRPr="00DC3EA1" w:rsidR="00F85043" w:rsidTr="00F85043" w14:paraId="3AEF0F83" w14:textId="409910F9">
        <w:tc>
          <w:tcPr>
            <w:tcW w:w="4673" w:type="dxa"/>
          </w:tcPr>
          <w:p w:rsidRPr="0041284C" w:rsidR="00F85043" w:rsidP="00CB428D" w:rsidRDefault="0041284C" w14:paraId="28534351" w14:textId="337113F5">
            <w:pPr>
              <w:pStyle w:val="NormalWeb"/>
              <w:numPr>
                <w:ilvl w:val="0"/>
                <w:numId w:val="18"/>
              </w:numPr>
              <w:spacing w:before="0" w:beforeAutospacing="0" w:after="0" w:afterAutospacing="0"/>
              <w:ind w:left="360"/>
              <w:rPr>
                <w:rStyle w:val="Strong"/>
                <w:rFonts w:asciiTheme="minorHAnsi" w:hAnsiTheme="minorHAnsi" w:cstheme="minorHAnsi"/>
                <w:color w:val="0B0C0C"/>
                <w:sz w:val="22"/>
                <w:szCs w:val="22"/>
              </w:rPr>
            </w:pPr>
            <w:r w:rsidRPr="0041284C">
              <w:rPr>
                <w:rFonts w:asciiTheme="minorHAnsi" w:hAnsiTheme="minorHAnsi" w:cstheme="minorHAnsi"/>
                <w:sz w:val="22"/>
                <w:szCs w:val="22"/>
              </w:rPr>
              <w:t>Children, including disadvantaged children, those with SEND, those who are known (or previously known) to children’s social care, and those who may face other barriers to their learning and/or well-being generally achieve well from their starting points. They receive the necessary support to reach developmental goals and/or age- and stage-appropriate end points of the curriculum.</w:t>
            </w:r>
          </w:p>
        </w:tc>
        <w:tc>
          <w:tcPr>
            <w:tcW w:w="6946" w:type="dxa"/>
          </w:tcPr>
          <w:p w:rsidRPr="00F249B6" w:rsidR="00F85043" w:rsidRDefault="00F85043" w14:paraId="1D4A50AC" w14:textId="77777777">
            <w:pPr>
              <w:rPr>
                <w:rFonts w:cstheme="minorHAnsi"/>
              </w:rPr>
            </w:pPr>
          </w:p>
        </w:tc>
        <w:tc>
          <w:tcPr>
            <w:tcW w:w="3544" w:type="dxa"/>
          </w:tcPr>
          <w:p w:rsidRPr="00DC3EA1" w:rsidR="00F85043" w:rsidRDefault="00F85043" w14:paraId="47058C95" w14:textId="77777777">
            <w:pPr>
              <w:rPr>
                <w:rFonts w:ascii="Calibri" w:hAnsi="Calibri" w:cs="Calibri"/>
              </w:rPr>
            </w:pPr>
          </w:p>
        </w:tc>
      </w:tr>
      <w:tr w:rsidRPr="00DC3EA1" w:rsidR="00FC1ED4" w:rsidTr="00943AA0" w14:paraId="6EE16A06" w14:textId="77777777">
        <w:trPr>
          <w:trHeight w:val="514"/>
        </w:trPr>
        <w:tc>
          <w:tcPr>
            <w:tcW w:w="15163" w:type="dxa"/>
            <w:gridSpan w:val="3"/>
            <w:shd w:val="clear" w:color="auto" w:fill="DEEAF6" w:themeFill="accent5" w:themeFillTint="33"/>
          </w:tcPr>
          <w:p w:rsidRPr="00DC3EA1" w:rsidR="00FC1ED4" w:rsidRDefault="00FC1ED4" w14:paraId="1886E04A" w14:textId="09F9365B">
            <w:pPr>
              <w:rPr>
                <w:rFonts w:ascii="Calibri" w:hAnsi="Calibri" w:cs="Calibri"/>
              </w:rPr>
            </w:pPr>
            <w:r w:rsidRPr="007212FA">
              <w:rPr>
                <w:rFonts w:cstheme="minorHAnsi"/>
                <w:b/>
                <w:bCs/>
              </w:rPr>
              <w:t>Strong standard descriptors</w:t>
            </w:r>
          </w:p>
        </w:tc>
      </w:tr>
      <w:tr w:rsidRPr="00DC3EA1" w:rsidR="00F85043" w:rsidTr="00F85043" w14:paraId="51E538A6" w14:textId="77777777">
        <w:tc>
          <w:tcPr>
            <w:tcW w:w="4673" w:type="dxa"/>
          </w:tcPr>
          <w:p w:rsidRPr="00943AA0" w:rsidR="00F85043" w:rsidP="004E04CB" w:rsidRDefault="00943AA0" w14:paraId="1B9CD173" w14:textId="42D782E7">
            <w:pPr>
              <w:pStyle w:val="NormalWeb"/>
              <w:numPr>
                <w:ilvl w:val="0"/>
                <w:numId w:val="24"/>
              </w:numPr>
              <w:spacing w:before="0" w:beforeAutospacing="0" w:after="0" w:afterAutospacing="0"/>
              <w:ind w:left="360"/>
              <w:rPr>
                <w:rFonts w:asciiTheme="minorHAnsi" w:hAnsiTheme="minorHAnsi" w:cstheme="minorHAnsi"/>
                <w:b/>
                <w:bCs/>
                <w:sz w:val="22"/>
                <w:szCs w:val="22"/>
              </w:rPr>
            </w:pPr>
            <w:r w:rsidRPr="00943AA0">
              <w:rPr>
                <w:rFonts w:asciiTheme="minorHAnsi" w:hAnsiTheme="minorHAnsi" w:cstheme="minorHAnsi"/>
                <w:sz w:val="22"/>
                <w:szCs w:val="22"/>
              </w:rPr>
              <w:t>Children are very well prepared to transition effectively between different stages of their education, including school, where relevant.</w:t>
            </w:r>
          </w:p>
        </w:tc>
        <w:tc>
          <w:tcPr>
            <w:tcW w:w="6946" w:type="dxa"/>
          </w:tcPr>
          <w:p w:rsidRPr="00F249B6" w:rsidR="00F85043" w:rsidRDefault="00F85043" w14:paraId="6A1BF6C7" w14:textId="77777777">
            <w:pPr>
              <w:rPr>
                <w:rFonts w:cstheme="minorHAnsi"/>
              </w:rPr>
            </w:pPr>
          </w:p>
        </w:tc>
        <w:tc>
          <w:tcPr>
            <w:tcW w:w="3544" w:type="dxa"/>
          </w:tcPr>
          <w:p w:rsidRPr="00DC3EA1" w:rsidR="00F85043" w:rsidRDefault="00F85043" w14:paraId="4DD70D81" w14:textId="77777777">
            <w:pPr>
              <w:rPr>
                <w:rFonts w:ascii="Calibri" w:hAnsi="Calibri" w:cs="Calibri"/>
              </w:rPr>
            </w:pPr>
          </w:p>
        </w:tc>
      </w:tr>
      <w:tr w:rsidRPr="00DC3EA1" w:rsidR="00F85043" w:rsidTr="00F85043" w14:paraId="32908BBF" w14:textId="77777777">
        <w:tc>
          <w:tcPr>
            <w:tcW w:w="4673" w:type="dxa"/>
          </w:tcPr>
          <w:p w:rsidRPr="006E5E85" w:rsidR="00F85043" w:rsidP="004E04CB" w:rsidRDefault="006E5E85" w14:paraId="4D75E5BC" w14:textId="718D8FB6">
            <w:pPr>
              <w:pStyle w:val="NormalWeb"/>
              <w:numPr>
                <w:ilvl w:val="0"/>
                <w:numId w:val="24"/>
              </w:numPr>
              <w:spacing w:before="0" w:beforeAutospacing="0" w:after="0" w:afterAutospacing="0"/>
              <w:ind w:left="360"/>
              <w:rPr>
                <w:rFonts w:ascii="Calibri" w:hAnsi="Calibri" w:cs="Calibri"/>
                <w:b/>
                <w:bCs/>
                <w:sz w:val="22"/>
                <w:szCs w:val="22"/>
              </w:rPr>
            </w:pPr>
            <w:r w:rsidRPr="006E5E85">
              <w:rPr>
                <w:rFonts w:ascii="Calibri" w:hAnsi="Calibri" w:cs="Calibri"/>
                <w:sz w:val="22"/>
                <w:szCs w:val="22"/>
              </w:rPr>
              <w:t>Children, including disadvantaged children, those with SEND, those who are known (or previously known) to children’s social care, and those who may face other barriers to their learning and/or well-being secure breadth and depth in their knowledge and skills within and across all 7 EYFS areas of learning and development. They are very well prepared to make the most of their skills and interests with increasing confidence and independence.</w:t>
            </w:r>
          </w:p>
        </w:tc>
        <w:tc>
          <w:tcPr>
            <w:tcW w:w="6946" w:type="dxa"/>
          </w:tcPr>
          <w:p w:rsidRPr="00F249B6" w:rsidR="00F85043" w:rsidRDefault="00F85043" w14:paraId="3EFB38C9" w14:textId="77777777">
            <w:pPr>
              <w:rPr>
                <w:rFonts w:cstheme="minorHAnsi"/>
              </w:rPr>
            </w:pPr>
          </w:p>
        </w:tc>
        <w:tc>
          <w:tcPr>
            <w:tcW w:w="3544" w:type="dxa"/>
          </w:tcPr>
          <w:p w:rsidRPr="00DC3EA1" w:rsidR="00F85043" w:rsidRDefault="00F85043" w14:paraId="46BE488B" w14:textId="77777777">
            <w:pPr>
              <w:rPr>
                <w:rFonts w:ascii="Calibri" w:hAnsi="Calibri" w:cs="Calibri"/>
              </w:rPr>
            </w:pPr>
          </w:p>
        </w:tc>
      </w:tr>
      <w:tr w:rsidRPr="00DC3EA1" w:rsidR="00F85043" w:rsidTr="00F0435C" w14:paraId="508FD8C4" w14:textId="75802790">
        <w:tc>
          <w:tcPr>
            <w:tcW w:w="4673" w:type="dxa"/>
            <w:shd w:val="clear" w:color="auto" w:fill="9CC2E5" w:themeFill="accent5" w:themeFillTint="99"/>
          </w:tcPr>
          <w:p w:rsidR="00F85043" w:rsidP="00CA4FA6" w:rsidRDefault="00765032" w14:paraId="3DC4CF9D" w14:textId="59E592CA">
            <w:pPr>
              <w:pStyle w:val="NormalWeb"/>
              <w:spacing w:before="0" w:beforeAutospacing="0" w:after="0" w:afterAutospacing="0"/>
              <w:rPr>
                <w:rStyle w:val="Strong"/>
                <w:rFonts w:asciiTheme="minorHAnsi" w:hAnsiTheme="minorHAnsi" w:cstheme="minorHAnsi"/>
                <w:color w:val="0B0C0C"/>
                <w:sz w:val="22"/>
                <w:szCs w:val="22"/>
              </w:rPr>
            </w:pPr>
            <w:r>
              <w:rPr>
                <w:rStyle w:val="Strong"/>
                <w:rFonts w:asciiTheme="minorHAnsi" w:hAnsiTheme="minorHAnsi" w:cstheme="minorHAnsi"/>
                <w:color w:val="0B0C0C"/>
                <w:sz w:val="22"/>
                <w:szCs w:val="22"/>
              </w:rPr>
              <w:t>B</w:t>
            </w:r>
            <w:r w:rsidRPr="00F249B6" w:rsidR="00F85043">
              <w:rPr>
                <w:rStyle w:val="Strong"/>
                <w:rFonts w:asciiTheme="minorHAnsi" w:hAnsiTheme="minorHAnsi" w:cstheme="minorHAnsi"/>
                <w:color w:val="0B0C0C"/>
                <w:sz w:val="22"/>
                <w:szCs w:val="22"/>
              </w:rPr>
              <w:t>ehaviour</w:t>
            </w:r>
            <w:r>
              <w:rPr>
                <w:rStyle w:val="Strong"/>
                <w:rFonts w:asciiTheme="minorHAnsi" w:hAnsiTheme="minorHAnsi" w:cstheme="minorHAnsi"/>
                <w:color w:val="0B0C0C"/>
                <w:sz w:val="22"/>
                <w:szCs w:val="22"/>
              </w:rPr>
              <w:t>, attitudes and establishing routines</w:t>
            </w:r>
          </w:p>
          <w:p w:rsidRPr="00806AB0" w:rsidR="00F85043" w:rsidP="00CA4FA6" w:rsidRDefault="00F85043" w14:paraId="53DA875C" w14:textId="0B6C1A8F">
            <w:pPr>
              <w:pStyle w:val="NormalWeb"/>
              <w:spacing w:before="0" w:beforeAutospacing="0" w:after="0" w:afterAutospacing="0"/>
              <w:rPr>
                <w:rStyle w:val="Strong"/>
                <w:rFonts w:asciiTheme="minorHAnsi" w:hAnsiTheme="minorHAnsi" w:cstheme="minorHAnsi"/>
                <w:b w:val="0"/>
                <w:bCs w:val="0"/>
                <w:color w:val="0B0C0C"/>
                <w:sz w:val="22"/>
                <w:szCs w:val="22"/>
              </w:rPr>
            </w:pPr>
            <w:r w:rsidRPr="00806AB0">
              <w:rPr>
                <w:rStyle w:val="Strong"/>
                <w:rFonts w:asciiTheme="minorHAnsi" w:hAnsiTheme="minorHAnsi" w:cstheme="minorHAnsi"/>
                <w:b w:val="0"/>
                <w:bCs w:val="0"/>
                <w:color w:val="0B0C0C"/>
                <w:sz w:val="22"/>
                <w:szCs w:val="22"/>
              </w:rPr>
              <w:t xml:space="preserve">Our </w:t>
            </w:r>
            <w:r>
              <w:rPr>
                <w:rStyle w:val="Strong"/>
                <w:rFonts w:asciiTheme="minorHAnsi" w:hAnsiTheme="minorHAnsi" w:cstheme="minorHAnsi"/>
                <w:b w:val="0"/>
                <w:bCs w:val="0"/>
                <w:color w:val="0B0C0C"/>
                <w:sz w:val="22"/>
                <w:szCs w:val="22"/>
              </w:rPr>
              <w:t>s</w:t>
            </w:r>
            <w:r>
              <w:rPr>
                <w:rStyle w:val="Strong"/>
                <w:rFonts w:asciiTheme="minorHAnsi" w:hAnsiTheme="minorHAnsi" w:cstheme="minorHAnsi"/>
                <w:b w:val="0"/>
                <w:bCs w:val="0"/>
                <w:color w:val="0B0C0C"/>
              </w:rPr>
              <w:t>elf-</w:t>
            </w:r>
            <w:r w:rsidRPr="00806AB0">
              <w:rPr>
                <w:rStyle w:val="Strong"/>
                <w:rFonts w:asciiTheme="minorHAnsi" w:hAnsiTheme="minorHAnsi" w:cstheme="minorHAnsi"/>
                <w:b w:val="0"/>
                <w:bCs w:val="0"/>
                <w:color w:val="0B0C0C"/>
                <w:sz w:val="22"/>
                <w:szCs w:val="22"/>
              </w:rPr>
              <w:t xml:space="preserve">assessment = </w:t>
            </w:r>
          </w:p>
        </w:tc>
        <w:tc>
          <w:tcPr>
            <w:tcW w:w="6946" w:type="dxa"/>
            <w:shd w:val="clear" w:color="auto" w:fill="DEEAF6" w:themeFill="accent5" w:themeFillTint="33"/>
          </w:tcPr>
          <w:p w:rsidRPr="00F249B6" w:rsidR="00F85043" w:rsidRDefault="00F85043" w14:paraId="0187BA67" w14:textId="4BE85BF7">
            <w:pPr>
              <w:rPr>
                <w:rFonts w:cstheme="minorHAnsi"/>
              </w:rPr>
            </w:pPr>
            <w:r w:rsidRPr="00F249B6">
              <w:rPr>
                <w:rFonts w:cstheme="minorHAnsi"/>
                <w:b/>
                <w:bCs/>
              </w:rPr>
              <w:t>Strengths and evidence</w:t>
            </w:r>
          </w:p>
        </w:tc>
        <w:tc>
          <w:tcPr>
            <w:tcW w:w="3544" w:type="dxa"/>
            <w:shd w:val="clear" w:color="auto" w:fill="DEEAF6" w:themeFill="accent5" w:themeFillTint="33"/>
          </w:tcPr>
          <w:p w:rsidRPr="00DC3EA1" w:rsidR="00F85043" w:rsidP="00695FE1" w:rsidRDefault="00F85043" w14:paraId="0D5C7921" w14:textId="77777777">
            <w:pPr>
              <w:rPr>
                <w:rFonts w:ascii="Calibri" w:hAnsi="Calibri" w:cs="Calibri"/>
                <w:b/>
                <w:bCs/>
              </w:rPr>
            </w:pPr>
            <w:r w:rsidRPr="00DC3EA1">
              <w:rPr>
                <w:rFonts w:ascii="Calibri" w:hAnsi="Calibri" w:cs="Calibri"/>
                <w:b/>
                <w:bCs/>
              </w:rPr>
              <w:t>Areas for development</w:t>
            </w:r>
          </w:p>
          <w:p w:rsidRPr="00DC3EA1" w:rsidR="00F85043" w:rsidP="00695FE1" w:rsidRDefault="00F85043" w14:paraId="4F06BD0F" w14:textId="60A58C47">
            <w:pPr>
              <w:rPr>
                <w:rFonts w:ascii="Calibri" w:hAnsi="Calibri" w:cs="Calibri"/>
              </w:rPr>
            </w:pPr>
          </w:p>
        </w:tc>
      </w:tr>
      <w:tr w:rsidRPr="00DC3EA1" w:rsidR="00796A42" w:rsidTr="00FC1ED4" w14:paraId="44106DBD" w14:textId="77777777">
        <w:tc>
          <w:tcPr>
            <w:tcW w:w="15163" w:type="dxa"/>
            <w:gridSpan w:val="3"/>
            <w:shd w:val="clear" w:color="auto" w:fill="DEEAF6" w:themeFill="accent5" w:themeFillTint="33"/>
          </w:tcPr>
          <w:p w:rsidRPr="00DC3EA1" w:rsidR="00796A42" w:rsidRDefault="00796A42" w14:paraId="5D91F928" w14:textId="730826F3">
            <w:pPr>
              <w:rPr>
                <w:rFonts w:ascii="Calibri" w:hAnsi="Calibri" w:cs="Calibri"/>
              </w:rPr>
            </w:pPr>
            <w:r w:rsidRPr="00796A42">
              <w:rPr>
                <w:rFonts w:cstheme="minorHAnsi"/>
                <w:b/>
                <w:bCs/>
              </w:rPr>
              <w:t>Expected standard descripto</w:t>
            </w:r>
            <w:r>
              <w:rPr>
                <w:rFonts w:cstheme="minorHAnsi"/>
                <w:b/>
                <w:bCs/>
              </w:rPr>
              <w:t>rs</w:t>
            </w:r>
          </w:p>
        </w:tc>
      </w:tr>
      <w:tr w:rsidRPr="00DC3EA1" w:rsidR="00F85043" w:rsidTr="00F85043" w14:paraId="39C910E0" w14:textId="5A3E07AB">
        <w:tc>
          <w:tcPr>
            <w:tcW w:w="4673" w:type="dxa"/>
          </w:tcPr>
          <w:p w:rsidRPr="00426281" w:rsidR="00F85043" w:rsidP="00CB428D" w:rsidRDefault="00426281" w14:paraId="72BC6325" w14:textId="1EDC299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426281">
              <w:rPr>
                <w:rFonts w:asciiTheme="minorHAnsi" w:hAnsiTheme="minorHAnsi" w:cstheme="minorHAnsi"/>
                <w:sz w:val="22"/>
                <w:szCs w:val="22"/>
              </w:rPr>
              <w:t>Leaders and practitioners set high expectations for children’s behaviour and attitudes to learning. These expectations are commonly understood by practitioners, parents and children. They are generally applied consistently and fairly. Incidents of poor behaviour, including unkind or discriminatory words and/or actions, when they occur, are quickly addressed.</w:t>
            </w:r>
          </w:p>
        </w:tc>
        <w:tc>
          <w:tcPr>
            <w:tcW w:w="6946" w:type="dxa"/>
          </w:tcPr>
          <w:p w:rsidRPr="00F249B6" w:rsidR="00F85043" w:rsidRDefault="00F85043" w14:paraId="4034796E" w14:textId="77777777">
            <w:pPr>
              <w:rPr>
                <w:rFonts w:cstheme="minorHAnsi"/>
              </w:rPr>
            </w:pPr>
          </w:p>
        </w:tc>
        <w:tc>
          <w:tcPr>
            <w:tcW w:w="3544" w:type="dxa"/>
          </w:tcPr>
          <w:p w:rsidRPr="00DC3EA1" w:rsidR="00F85043" w:rsidRDefault="00F85043" w14:paraId="38233585" w14:textId="77777777">
            <w:pPr>
              <w:rPr>
                <w:rFonts w:ascii="Calibri" w:hAnsi="Calibri" w:cs="Calibri"/>
              </w:rPr>
            </w:pPr>
          </w:p>
        </w:tc>
      </w:tr>
      <w:tr w:rsidRPr="00DC3EA1" w:rsidR="00F85043" w:rsidTr="00F85043" w14:paraId="2BDCB3D8" w14:textId="67D7329D">
        <w:tc>
          <w:tcPr>
            <w:tcW w:w="4673" w:type="dxa"/>
          </w:tcPr>
          <w:p w:rsidRPr="00426281" w:rsidR="00F85043" w:rsidP="00CB428D" w:rsidRDefault="00426281" w14:paraId="682C8971" w14:textId="2C12B733">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426281">
              <w:rPr>
                <w:rFonts w:asciiTheme="minorHAnsi" w:hAnsiTheme="minorHAnsi" w:cstheme="minorHAnsi"/>
                <w:sz w:val="22"/>
                <w:szCs w:val="22"/>
              </w:rPr>
              <w:t>Leaders promote to families the importance of attendance and punctuality.</w:t>
            </w:r>
          </w:p>
        </w:tc>
        <w:tc>
          <w:tcPr>
            <w:tcW w:w="6946" w:type="dxa"/>
          </w:tcPr>
          <w:p w:rsidRPr="00F249B6" w:rsidR="00F85043" w:rsidRDefault="00F85043" w14:paraId="0FA1ACC3" w14:textId="77777777">
            <w:pPr>
              <w:rPr>
                <w:rFonts w:cstheme="minorHAnsi"/>
              </w:rPr>
            </w:pPr>
          </w:p>
        </w:tc>
        <w:tc>
          <w:tcPr>
            <w:tcW w:w="3544" w:type="dxa"/>
          </w:tcPr>
          <w:p w:rsidRPr="00DC3EA1" w:rsidR="00F85043" w:rsidRDefault="00F85043" w14:paraId="486D8038" w14:textId="77777777">
            <w:pPr>
              <w:rPr>
                <w:rFonts w:ascii="Calibri" w:hAnsi="Calibri" w:cs="Calibri"/>
              </w:rPr>
            </w:pPr>
          </w:p>
        </w:tc>
      </w:tr>
      <w:tr w:rsidRPr="00DC3EA1" w:rsidR="00F85043" w:rsidTr="00F85043" w14:paraId="087E2D14" w14:textId="76DFC1D7">
        <w:tc>
          <w:tcPr>
            <w:tcW w:w="4673" w:type="dxa"/>
          </w:tcPr>
          <w:p w:rsidRPr="00B601F8" w:rsidR="00F85043" w:rsidP="00CB428D" w:rsidRDefault="00B601F8" w14:paraId="45A95C2C" w14:textId="2C975EE4">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B601F8">
              <w:rPr>
                <w:rFonts w:asciiTheme="minorHAnsi" w:hAnsiTheme="minorHAnsi" w:cstheme="minorHAnsi"/>
                <w:sz w:val="22"/>
                <w:szCs w:val="22"/>
              </w:rPr>
              <w:t>Practitioners teach children the importance of treating others with kindness, care and respect and are positive role models.</w:t>
            </w:r>
          </w:p>
        </w:tc>
        <w:tc>
          <w:tcPr>
            <w:tcW w:w="6946" w:type="dxa"/>
          </w:tcPr>
          <w:p w:rsidRPr="00F249B6" w:rsidR="00F85043" w:rsidRDefault="00F85043" w14:paraId="0D41E193" w14:textId="77777777">
            <w:pPr>
              <w:rPr>
                <w:rFonts w:cstheme="minorHAnsi"/>
              </w:rPr>
            </w:pPr>
          </w:p>
        </w:tc>
        <w:tc>
          <w:tcPr>
            <w:tcW w:w="3544" w:type="dxa"/>
          </w:tcPr>
          <w:p w:rsidRPr="00DC3EA1" w:rsidR="00F85043" w:rsidRDefault="00F85043" w14:paraId="337772DC" w14:textId="77777777">
            <w:pPr>
              <w:rPr>
                <w:rFonts w:ascii="Calibri" w:hAnsi="Calibri" w:cs="Calibri"/>
              </w:rPr>
            </w:pPr>
          </w:p>
        </w:tc>
      </w:tr>
      <w:tr w:rsidRPr="00DC3EA1" w:rsidR="00F85043" w:rsidTr="00F85043" w14:paraId="31895577" w14:textId="32E59041">
        <w:tc>
          <w:tcPr>
            <w:tcW w:w="4673" w:type="dxa"/>
          </w:tcPr>
          <w:p w:rsidRPr="007313F7" w:rsidR="00F85043" w:rsidP="00CB428D" w:rsidRDefault="00B601F8" w14:paraId="0AF2E069" w14:textId="131BA312">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7313F7">
              <w:rPr>
                <w:rFonts w:asciiTheme="minorHAnsi" w:hAnsiTheme="minorHAnsi" w:cstheme="minorHAnsi"/>
                <w:sz w:val="22"/>
                <w:szCs w:val="22"/>
              </w:rPr>
              <w:t>Practitioners explicitly teach children the executive function skills they need to develop positive attitudes to learning. They help children to focus attention on what matters, screen out anything that is not relevant, hold information in mind to work on it, and focus on</w:t>
            </w:r>
            <w:r w:rsidRPr="007313F7" w:rsidR="007313F7">
              <w:rPr>
                <w:rFonts w:asciiTheme="minorHAnsi" w:hAnsiTheme="minorHAnsi" w:cstheme="minorHAnsi"/>
                <w:sz w:val="22"/>
                <w:szCs w:val="22"/>
              </w:rPr>
              <w:t xml:space="preserve"> a goal and work out when it is necessary to change approaches to achieve that goal.</w:t>
            </w:r>
          </w:p>
        </w:tc>
        <w:tc>
          <w:tcPr>
            <w:tcW w:w="6946" w:type="dxa"/>
          </w:tcPr>
          <w:p w:rsidRPr="00F249B6" w:rsidR="00F85043" w:rsidRDefault="00F85043" w14:paraId="2297CE6C" w14:textId="77777777">
            <w:pPr>
              <w:rPr>
                <w:rFonts w:cstheme="minorHAnsi"/>
              </w:rPr>
            </w:pPr>
          </w:p>
        </w:tc>
        <w:tc>
          <w:tcPr>
            <w:tcW w:w="3544" w:type="dxa"/>
          </w:tcPr>
          <w:p w:rsidRPr="00DC3EA1" w:rsidR="00F85043" w:rsidRDefault="00F85043" w14:paraId="34D6DA81" w14:textId="77777777">
            <w:pPr>
              <w:rPr>
                <w:rFonts w:ascii="Calibri" w:hAnsi="Calibri" w:cs="Calibri"/>
              </w:rPr>
            </w:pPr>
          </w:p>
        </w:tc>
      </w:tr>
      <w:tr w:rsidRPr="00DC3EA1" w:rsidR="00F85043" w:rsidTr="00F85043" w14:paraId="4667BDA0" w14:textId="2F9B10AA">
        <w:tc>
          <w:tcPr>
            <w:tcW w:w="4673" w:type="dxa"/>
          </w:tcPr>
          <w:p w:rsidRPr="00F91826" w:rsidR="00F85043" w:rsidP="00CB428D" w:rsidRDefault="00F91826" w14:paraId="6CD6B53E" w14:textId="69A64BBD">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91826">
              <w:rPr>
                <w:rFonts w:asciiTheme="minorHAnsi" w:hAnsiTheme="minorHAnsi" w:cstheme="minorHAnsi"/>
                <w:sz w:val="22"/>
                <w:szCs w:val="22"/>
              </w:rPr>
              <w:t>Practitioners understand and consider each child’s individual needs and circumstances, including those of disadvantaged children, those with SEND, those who are known (or previously known) to children’s social care, and those who may face barriers to their learning. Any adaptations and/or reasonable adjustments maintain the high expectations of behaviour that reflect the children’s ages and stages of development. Practitioners proactively work with other agencies to serve children’s best interests.</w:t>
            </w:r>
          </w:p>
        </w:tc>
        <w:tc>
          <w:tcPr>
            <w:tcW w:w="6946" w:type="dxa"/>
          </w:tcPr>
          <w:p w:rsidRPr="00F249B6" w:rsidR="00F85043" w:rsidRDefault="00F85043" w14:paraId="03F3F314" w14:textId="77777777">
            <w:pPr>
              <w:rPr>
                <w:rFonts w:cstheme="minorHAnsi"/>
              </w:rPr>
            </w:pPr>
          </w:p>
        </w:tc>
        <w:tc>
          <w:tcPr>
            <w:tcW w:w="3544" w:type="dxa"/>
          </w:tcPr>
          <w:p w:rsidRPr="00DC3EA1" w:rsidR="00F85043" w:rsidRDefault="00F85043" w14:paraId="40C0FAF1" w14:textId="77777777">
            <w:pPr>
              <w:rPr>
                <w:rFonts w:ascii="Calibri" w:hAnsi="Calibri" w:cs="Calibri"/>
              </w:rPr>
            </w:pPr>
          </w:p>
        </w:tc>
      </w:tr>
      <w:tr w:rsidRPr="00DC3EA1" w:rsidR="00F85043" w:rsidTr="00F85043" w14:paraId="7FBCCB41" w14:textId="525A28F1">
        <w:tc>
          <w:tcPr>
            <w:tcW w:w="4673" w:type="dxa"/>
          </w:tcPr>
          <w:p w:rsidRPr="00FD1C16" w:rsidR="00F85043" w:rsidP="00CB428D" w:rsidRDefault="00FD1C16" w14:paraId="1661B662" w14:textId="2BEEBD0A">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FD1C16">
              <w:rPr>
                <w:rFonts w:asciiTheme="minorHAnsi" w:hAnsiTheme="minorHAnsi" w:cstheme="minorHAnsi"/>
                <w:sz w:val="22"/>
                <w:szCs w:val="22"/>
              </w:rPr>
              <w:t>Children play games and activities collaboratively and get along well with others.</w:t>
            </w:r>
          </w:p>
        </w:tc>
        <w:tc>
          <w:tcPr>
            <w:tcW w:w="6946" w:type="dxa"/>
          </w:tcPr>
          <w:p w:rsidRPr="00F249B6" w:rsidR="00F85043" w:rsidRDefault="00F85043" w14:paraId="3D9E947C" w14:textId="77777777">
            <w:pPr>
              <w:rPr>
                <w:rFonts w:cstheme="minorHAnsi"/>
              </w:rPr>
            </w:pPr>
          </w:p>
        </w:tc>
        <w:tc>
          <w:tcPr>
            <w:tcW w:w="3544" w:type="dxa"/>
          </w:tcPr>
          <w:p w:rsidRPr="00DC3EA1" w:rsidR="00F85043" w:rsidRDefault="00F85043" w14:paraId="07B32C72" w14:textId="77777777">
            <w:pPr>
              <w:rPr>
                <w:rFonts w:ascii="Calibri" w:hAnsi="Calibri" w:cs="Calibri"/>
              </w:rPr>
            </w:pPr>
          </w:p>
        </w:tc>
      </w:tr>
      <w:tr w:rsidRPr="00DC3EA1" w:rsidR="00F85043" w:rsidTr="00F85043" w14:paraId="117C48F4" w14:textId="02CB2C14">
        <w:tc>
          <w:tcPr>
            <w:tcW w:w="4673" w:type="dxa"/>
          </w:tcPr>
          <w:p w:rsidRPr="006D581A" w:rsidR="00F85043" w:rsidP="00CB428D" w:rsidRDefault="006D581A" w14:paraId="4E1BF870" w14:textId="3077D851">
            <w:pPr>
              <w:pStyle w:val="NormalWeb"/>
              <w:numPr>
                <w:ilvl w:val="0"/>
                <w:numId w:val="17"/>
              </w:numPr>
              <w:spacing w:before="0" w:beforeAutospacing="0" w:after="0" w:afterAutospacing="0"/>
              <w:ind w:left="303"/>
              <w:rPr>
                <w:rStyle w:val="Strong"/>
                <w:rFonts w:ascii="Calibri" w:hAnsi="Calibri" w:cs="Calibri"/>
                <w:color w:val="0B0C0C"/>
                <w:sz w:val="22"/>
                <w:szCs w:val="22"/>
              </w:rPr>
            </w:pPr>
            <w:r w:rsidRPr="006D581A">
              <w:rPr>
                <w:rFonts w:ascii="Calibri" w:hAnsi="Calibri" w:cs="Calibri"/>
                <w:sz w:val="22"/>
                <w:szCs w:val="22"/>
              </w:rPr>
              <w:t>Practitioners give explicit praise to reinforce children’s positive behaviour.</w:t>
            </w:r>
          </w:p>
        </w:tc>
        <w:tc>
          <w:tcPr>
            <w:tcW w:w="6946" w:type="dxa"/>
          </w:tcPr>
          <w:p w:rsidRPr="00F249B6" w:rsidR="00F85043" w:rsidRDefault="00F85043" w14:paraId="2216BDE7" w14:textId="77777777">
            <w:pPr>
              <w:rPr>
                <w:rFonts w:cstheme="minorHAnsi"/>
              </w:rPr>
            </w:pPr>
          </w:p>
        </w:tc>
        <w:tc>
          <w:tcPr>
            <w:tcW w:w="3544" w:type="dxa"/>
          </w:tcPr>
          <w:p w:rsidRPr="00DC3EA1" w:rsidR="00F85043" w:rsidRDefault="00F85043" w14:paraId="5D7FF8E5" w14:textId="77777777">
            <w:pPr>
              <w:rPr>
                <w:rFonts w:ascii="Calibri" w:hAnsi="Calibri" w:cs="Calibri"/>
              </w:rPr>
            </w:pPr>
          </w:p>
        </w:tc>
      </w:tr>
      <w:tr w:rsidRPr="00DC3EA1" w:rsidR="00F85043" w:rsidTr="00F85043" w14:paraId="32FF1DD9" w14:textId="5295E44C">
        <w:tc>
          <w:tcPr>
            <w:tcW w:w="4673" w:type="dxa"/>
          </w:tcPr>
          <w:p w:rsidRPr="006D581A" w:rsidR="00F85043" w:rsidP="00CB428D" w:rsidRDefault="006D581A" w14:paraId="66E28C38" w14:textId="6295EB52">
            <w:pPr>
              <w:pStyle w:val="NormalWeb"/>
              <w:numPr>
                <w:ilvl w:val="0"/>
                <w:numId w:val="17"/>
              </w:numPr>
              <w:spacing w:before="0" w:beforeAutospacing="0" w:after="0" w:afterAutospacing="0"/>
              <w:ind w:left="303"/>
              <w:rPr>
                <w:rStyle w:val="Strong"/>
                <w:rFonts w:asciiTheme="minorHAnsi" w:hAnsiTheme="minorHAnsi" w:cstheme="minorHAnsi"/>
                <w:color w:val="0B0C0C"/>
                <w:sz w:val="22"/>
                <w:szCs w:val="22"/>
              </w:rPr>
            </w:pPr>
            <w:r w:rsidRPr="006D581A">
              <w:rPr>
                <w:rFonts w:asciiTheme="minorHAnsi" w:hAnsiTheme="minorHAnsi" w:cstheme="minorHAnsi"/>
                <w:sz w:val="22"/>
                <w:szCs w:val="22"/>
              </w:rPr>
              <w:t>Children typically build warm, trusting and respectful relationships with their key persons. As a result, they are confident to share their concerns in age- and/or stage-appropriate ways.</w:t>
            </w:r>
          </w:p>
        </w:tc>
        <w:tc>
          <w:tcPr>
            <w:tcW w:w="6946" w:type="dxa"/>
          </w:tcPr>
          <w:p w:rsidRPr="00F249B6" w:rsidR="00F85043" w:rsidRDefault="00F85043" w14:paraId="1C2A2B45" w14:textId="77777777">
            <w:pPr>
              <w:rPr>
                <w:rFonts w:cstheme="minorHAnsi"/>
              </w:rPr>
            </w:pPr>
          </w:p>
        </w:tc>
        <w:tc>
          <w:tcPr>
            <w:tcW w:w="3544" w:type="dxa"/>
          </w:tcPr>
          <w:p w:rsidRPr="00DC3EA1" w:rsidR="00F85043" w:rsidRDefault="00F85043" w14:paraId="18CAB143" w14:textId="77777777">
            <w:pPr>
              <w:rPr>
                <w:rFonts w:ascii="Calibri" w:hAnsi="Calibri" w:cs="Calibri"/>
              </w:rPr>
            </w:pPr>
          </w:p>
        </w:tc>
      </w:tr>
      <w:tr w:rsidRPr="00DC3EA1" w:rsidR="007E049B" w:rsidTr="00FC1ED4" w14:paraId="11F93563" w14:textId="77777777">
        <w:tc>
          <w:tcPr>
            <w:tcW w:w="15163" w:type="dxa"/>
            <w:gridSpan w:val="3"/>
            <w:shd w:val="clear" w:color="auto" w:fill="DEEAF6" w:themeFill="accent5" w:themeFillTint="33"/>
          </w:tcPr>
          <w:p w:rsidRPr="00DC3EA1" w:rsidR="007E049B" w:rsidRDefault="007E049B" w14:paraId="73620225" w14:textId="1E33F6CF">
            <w:pPr>
              <w:rPr>
                <w:rFonts w:ascii="Calibri" w:hAnsi="Calibri" w:cs="Calibri"/>
              </w:rPr>
            </w:pPr>
            <w:r w:rsidRPr="00796A42">
              <w:rPr>
                <w:rFonts w:cstheme="minorHAnsi"/>
                <w:b/>
                <w:bCs/>
              </w:rPr>
              <w:t>Strong standard descriptors</w:t>
            </w:r>
          </w:p>
        </w:tc>
      </w:tr>
      <w:tr w:rsidRPr="00DC3EA1" w:rsidR="00F85043" w:rsidTr="00F85043" w14:paraId="2F506273" w14:textId="77777777">
        <w:tc>
          <w:tcPr>
            <w:tcW w:w="4673" w:type="dxa"/>
          </w:tcPr>
          <w:p w:rsidRPr="00147BF3" w:rsidR="00F85043" w:rsidP="00A54619" w:rsidRDefault="00147BF3" w14:paraId="0D19AEFB" w14:textId="517CB68F">
            <w:pPr>
              <w:pStyle w:val="NormalWeb"/>
              <w:numPr>
                <w:ilvl w:val="0"/>
                <w:numId w:val="25"/>
              </w:numPr>
              <w:spacing w:before="0" w:beforeAutospacing="0" w:after="0" w:afterAutospacing="0"/>
              <w:ind w:left="360"/>
              <w:rPr>
                <w:rStyle w:val="Strong"/>
                <w:rFonts w:asciiTheme="minorHAnsi" w:hAnsiTheme="minorHAnsi" w:cstheme="minorHAnsi"/>
                <w:color w:val="0B0C0C"/>
                <w:sz w:val="22"/>
                <w:szCs w:val="22"/>
              </w:rPr>
            </w:pPr>
            <w:r w:rsidRPr="00147BF3">
              <w:rPr>
                <w:rFonts w:asciiTheme="minorHAnsi" w:hAnsiTheme="minorHAnsi" w:cstheme="minorHAnsi"/>
                <w:sz w:val="22"/>
                <w:szCs w:val="22"/>
              </w:rPr>
              <w:t>Leaders have embedded a harmonious and respectful culture in which children can increasingly manage their own feelings and behaviour. Practitioners consistently enable children’s best possible behaviour. They reinforce this through highly impactful teaching of behaviour and routines. As a result, children have consistently positive attitudes to their learning and to each other.</w:t>
            </w:r>
          </w:p>
        </w:tc>
        <w:tc>
          <w:tcPr>
            <w:tcW w:w="6946" w:type="dxa"/>
          </w:tcPr>
          <w:p w:rsidRPr="00F249B6" w:rsidR="00F85043" w:rsidRDefault="00F85043" w14:paraId="2D5A7FD8" w14:textId="77777777">
            <w:pPr>
              <w:rPr>
                <w:rFonts w:cstheme="minorHAnsi"/>
              </w:rPr>
            </w:pPr>
          </w:p>
        </w:tc>
        <w:tc>
          <w:tcPr>
            <w:tcW w:w="3544" w:type="dxa"/>
          </w:tcPr>
          <w:p w:rsidRPr="00DC3EA1" w:rsidR="00F85043" w:rsidRDefault="00F85043" w14:paraId="03E73ED7" w14:textId="77777777">
            <w:pPr>
              <w:rPr>
                <w:rFonts w:ascii="Calibri" w:hAnsi="Calibri" w:cs="Calibri"/>
              </w:rPr>
            </w:pPr>
          </w:p>
        </w:tc>
      </w:tr>
      <w:tr w:rsidRPr="00DC3EA1" w:rsidR="00F85043" w:rsidTr="00F85043" w14:paraId="524DA819" w14:textId="77777777">
        <w:tc>
          <w:tcPr>
            <w:tcW w:w="4673" w:type="dxa"/>
          </w:tcPr>
          <w:p w:rsidRPr="00C1678E" w:rsidR="00F85043" w:rsidP="00A54619" w:rsidRDefault="00C1678E" w14:paraId="74535D1B" w14:textId="7B478DA1">
            <w:pPr>
              <w:pStyle w:val="NormalWeb"/>
              <w:numPr>
                <w:ilvl w:val="0"/>
                <w:numId w:val="25"/>
              </w:numPr>
              <w:spacing w:before="0" w:beforeAutospacing="0" w:after="0" w:afterAutospacing="0"/>
              <w:ind w:left="360"/>
              <w:rPr>
                <w:rStyle w:val="Strong"/>
                <w:rFonts w:asciiTheme="minorHAnsi" w:hAnsiTheme="minorHAnsi" w:cstheme="minorHAnsi"/>
                <w:color w:val="0B0C0C"/>
                <w:sz w:val="22"/>
                <w:szCs w:val="22"/>
              </w:rPr>
            </w:pPr>
            <w:r w:rsidRPr="00C1678E">
              <w:rPr>
                <w:rFonts w:asciiTheme="minorHAnsi" w:hAnsiTheme="minorHAnsi" w:cstheme="minorHAnsi"/>
                <w:sz w:val="22"/>
                <w:szCs w:val="22"/>
              </w:rPr>
              <w:t>Leaders consistently take decisive, evidence-led action to anticipate, identify and tackle barriers to attendance. This work enables children and their families, including disadvantaged children, those with SEND, those who are known (or previously known) to children’s social care, and those who may face other barriers to their learning and/or well-being, to establish positive routines and significantly improve children’s attendance in preparation for starting school.</w:t>
            </w:r>
          </w:p>
        </w:tc>
        <w:tc>
          <w:tcPr>
            <w:tcW w:w="6946" w:type="dxa"/>
          </w:tcPr>
          <w:p w:rsidRPr="00F249B6" w:rsidR="00F85043" w:rsidRDefault="00F85043" w14:paraId="3D27BDEF" w14:textId="77777777">
            <w:pPr>
              <w:rPr>
                <w:rFonts w:cstheme="minorHAnsi"/>
              </w:rPr>
            </w:pPr>
          </w:p>
        </w:tc>
        <w:tc>
          <w:tcPr>
            <w:tcW w:w="3544" w:type="dxa"/>
          </w:tcPr>
          <w:p w:rsidRPr="00DC3EA1" w:rsidR="00F85043" w:rsidRDefault="00F85043" w14:paraId="38AE4DAB" w14:textId="77777777">
            <w:pPr>
              <w:rPr>
                <w:rFonts w:ascii="Calibri" w:hAnsi="Calibri" w:cs="Calibri"/>
              </w:rPr>
            </w:pPr>
          </w:p>
        </w:tc>
      </w:tr>
      <w:tr w:rsidRPr="00DC3EA1" w:rsidR="00F85043" w:rsidTr="00F0435C" w14:paraId="4B910873" w14:textId="26C8A3B7">
        <w:tc>
          <w:tcPr>
            <w:tcW w:w="4673" w:type="dxa"/>
            <w:shd w:val="clear" w:color="auto" w:fill="9CC2E5" w:themeFill="accent5" w:themeFillTint="99"/>
          </w:tcPr>
          <w:p w:rsidR="00F85043" w:rsidP="00CA4FA6" w:rsidRDefault="00765032" w14:paraId="132D1F2A" w14:textId="3140272D">
            <w:pPr>
              <w:pStyle w:val="NormalWeb"/>
              <w:spacing w:before="0" w:beforeAutospacing="0" w:after="0" w:afterAutospacing="0"/>
              <w:rPr>
                <w:rStyle w:val="Strong"/>
                <w:rFonts w:asciiTheme="minorHAnsi" w:hAnsiTheme="minorHAnsi" w:cstheme="minorHAnsi"/>
                <w:color w:val="0B0C0C"/>
                <w:sz w:val="22"/>
                <w:szCs w:val="22"/>
              </w:rPr>
            </w:pPr>
            <w:r>
              <w:rPr>
                <w:rStyle w:val="Strong"/>
                <w:rFonts w:asciiTheme="minorHAnsi" w:hAnsiTheme="minorHAnsi" w:cstheme="minorHAnsi"/>
                <w:color w:val="0B0C0C"/>
                <w:sz w:val="22"/>
                <w:szCs w:val="22"/>
              </w:rPr>
              <w:t>Children’s welfare</w:t>
            </w:r>
            <w:r w:rsidRPr="00F249B6" w:rsidR="00F85043">
              <w:rPr>
                <w:rStyle w:val="Strong"/>
                <w:rFonts w:asciiTheme="minorHAnsi" w:hAnsiTheme="minorHAnsi" w:cstheme="minorHAnsi"/>
                <w:color w:val="0B0C0C"/>
                <w:sz w:val="22"/>
                <w:szCs w:val="22"/>
              </w:rPr>
              <w:t xml:space="preserve"> &amp; well-being  </w:t>
            </w:r>
          </w:p>
          <w:p w:rsidRPr="00806AB0" w:rsidR="00F85043" w:rsidP="00CA4FA6" w:rsidRDefault="00F85043" w14:paraId="2A6DFF22" w14:textId="28A12138">
            <w:pPr>
              <w:pStyle w:val="NormalWeb"/>
              <w:spacing w:before="0" w:beforeAutospacing="0" w:after="0" w:afterAutospacing="0"/>
              <w:rPr>
                <w:rStyle w:val="Strong"/>
                <w:rFonts w:asciiTheme="minorHAnsi" w:hAnsiTheme="minorHAnsi" w:cstheme="minorHAnsi"/>
                <w:b w:val="0"/>
                <w:bCs w:val="0"/>
                <w:color w:val="0B0C0C"/>
                <w:sz w:val="22"/>
                <w:szCs w:val="22"/>
              </w:rPr>
            </w:pPr>
            <w:r w:rsidRPr="00806AB0">
              <w:rPr>
                <w:rStyle w:val="Strong"/>
                <w:rFonts w:asciiTheme="minorHAnsi" w:hAnsiTheme="minorHAnsi" w:cstheme="minorHAnsi"/>
                <w:b w:val="0"/>
                <w:bCs w:val="0"/>
                <w:color w:val="0B0C0C"/>
                <w:sz w:val="22"/>
                <w:szCs w:val="22"/>
              </w:rPr>
              <w:t xml:space="preserve">Our </w:t>
            </w:r>
            <w:r>
              <w:rPr>
                <w:rStyle w:val="Strong"/>
                <w:rFonts w:asciiTheme="minorHAnsi" w:hAnsiTheme="minorHAnsi" w:cstheme="minorHAnsi"/>
                <w:b w:val="0"/>
                <w:bCs w:val="0"/>
                <w:color w:val="0B0C0C"/>
                <w:sz w:val="22"/>
                <w:szCs w:val="22"/>
              </w:rPr>
              <w:t>self-</w:t>
            </w:r>
            <w:r w:rsidRPr="00806AB0">
              <w:rPr>
                <w:rStyle w:val="Strong"/>
                <w:rFonts w:asciiTheme="minorHAnsi" w:hAnsiTheme="minorHAnsi" w:cstheme="minorHAnsi"/>
                <w:b w:val="0"/>
                <w:bCs w:val="0"/>
                <w:color w:val="0B0C0C"/>
                <w:sz w:val="22"/>
                <w:szCs w:val="22"/>
              </w:rPr>
              <w:t xml:space="preserve">assessment = </w:t>
            </w:r>
          </w:p>
        </w:tc>
        <w:tc>
          <w:tcPr>
            <w:tcW w:w="6946" w:type="dxa"/>
            <w:shd w:val="clear" w:color="auto" w:fill="DEEAF6" w:themeFill="accent5" w:themeFillTint="33"/>
          </w:tcPr>
          <w:p w:rsidRPr="00F249B6" w:rsidR="00F85043" w:rsidRDefault="00F85043" w14:paraId="58E186BA" w14:textId="4478302A">
            <w:pPr>
              <w:rPr>
                <w:rFonts w:cstheme="minorHAnsi"/>
              </w:rPr>
            </w:pPr>
            <w:r w:rsidRPr="00F249B6">
              <w:rPr>
                <w:rFonts w:cstheme="minorHAnsi"/>
                <w:b/>
                <w:bCs/>
              </w:rPr>
              <w:t>Strengths and evidence</w:t>
            </w:r>
          </w:p>
        </w:tc>
        <w:tc>
          <w:tcPr>
            <w:tcW w:w="3544" w:type="dxa"/>
            <w:shd w:val="clear" w:color="auto" w:fill="DEEAF6" w:themeFill="accent5" w:themeFillTint="33"/>
          </w:tcPr>
          <w:p w:rsidRPr="00DC3EA1" w:rsidR="00F85043" w:rsidP="004317CC" w:rsidRDefault="00F85043" w14:paraId="21EEC163" w14:textId="77777777">
            <w:pPr>
              <w:rPr>
                <w:rFonts w:ascii="Calibri" w:hAnsi="Calibri" w:cs="Calibri"/>
                <w:b/>
                <w:bCs/>
              </w:rPr>
            </w:pPr>
            <w:r w:rsidRPr="00DC3EA1">
              <w:rPr>
                <w:rFonts w:ascii="Calibri" w:hAnsi="Calibri" w:cs="Calibri"/>
                <w:b/>
                <w:bCs/>
              </w:rPr>
              <w:t>Areas for development</w:t>
            </w:r>
          </w:p>
          <w:p w:rsidRPr="00DC3EA1" w:rsidR="00F85043" w:rsidP="004317CC" w:rsidRDefault="00F85043" w14:paraId="5EFA836E" w14:textId="5D174456">
            <w:pPr>
              <w:rPr>
                <w:rFonts w:ascii="Calibri" w:hAnsi="Calibri" w:cs="Calibri"/>
              </w:rPr>
            </w:pPr>
          </w:p>
        </w:tc>
      </w:tr>
      <w:tr w:rsidRPr="00DC3EA1" w:rsidR="007E049B" w:rsidTr="00FC1ED4" w14:paraId="616DFF55" w14:textId="77777777">
        <w:tc>
          <w:tcPr>
            <w:tcW w:w="15163" w:type="dxa"/>
            <w:gridSpan w:val="3"/>
            <w:shd w:val="clear" w:color="auto" w:fill="DEEAF6" w:themeFill="accent5" w:themeFillTint="33"/>
          </w:tcPr>
          <w:p w:rsidRPr="00DC3EA1" w:rsidR="007E049B" w:rsidRDefault="007E049B" w14:paraId="089BF0B5" w14:textId="506B9CA0">
            <w:pPr>
              <w:rPr>
                <w:rFonts w:ascii="Calibri" w:hAnsi="Calibri" w:cs="Calibri"/>
              </w:rPr>
            </w:pPr>
            <w:r w:rsidRPr="007E049B">
              <w:rPr>
                <w:rFonts w:cstheme="minorHAnsi"/>
                <w:b/>
                <w:bCs/>
              </w:rPr>
              <w:t>Expected standard descriptors</w:t>
            </w:r>
          </w:p>
        </w:tc>
      </w:tr>
      <w:tr w:rsidRPr="00DC3EA1" w:rsidR="00F85043" w:rsidTr="00F85043" w14:paraId="2C06D6FA" w14:textId="618016B7">
        <w:tc>
          <w:tcPr>
            <w:tcW w:w="4673" w:type="dxa"/>
          </w:tcPr>
          <w:p w:rsidRPr="00965195" w:rsidR="00F85043" w:rsidP="00CB428D" w:rsidRDefault="00965195" w14:paraId="31B27BDE" w14:textId="12817877">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965195">
              <w:rPr>
                <w:rFonts w:asciiTheme="minorHAnsi" w:hAnsiTheme="minorHAnsi" w:cstheme="minorHAnsi"/>
                <w:sz w:val="22"/>
                <w:szCs w:val="22"/>
              </w:rPr>
              <w:t>Leaders establish policies and practices that support children’s welfare, mental health and well-being. These are generally understood by staff and parents and implemented well across the setting.</w:t>
            </w:r>
          </w:p>
        </w:tc>
        <w:tc>
          <w:tcPr>
            <w:tcW w:w="6946" w:type="dxa"/>
          </w:tcPr>
          <w:p w:rsidRPr="00F249B6" w:rsidR="00F85043" w:rsidRDefault="00F85043" w14:paraId="2746B8F5" w14:textId="77777777">
            <w:pPr>
              <w:rPr>
                <w:rFonts w:cstheme="minorHAnsi"/>
              </w:rPr>
            </w:pPr>
          </w:p>
        </w:tc>
        <w:tc>
          <w:tcPr>
            <w:tcW w:w="3544" w:type="dxa"/>
          </w:tcPr>
          <w:p w:rsidRPr="00DC3EA1" w:rsidR="00F85043" w:rsidRDefault="00F85043" w14:paraId="5F326984" w14:textId="77777777">
            <w:pPr>
              <w:rPr>
                <w:rFonts w:ascii="Calibri" w:hAnsi="Calibri" w:cs="Calibri"/>
              </w:rPr>
            </w:pPr>
          </w:p>
        </w:tc>
      </w:tr>
      <w:tr w:rsidRPr="00DC3EA1" w:rsidR="00F85043" w:rsidTr="00F85043" w14:paraId="19252C9E" w14:textId="62569E1B">
        <w:tc>
          <w:tcPr>
            <w:tcW w:w="4673" w:type="dxa"/>
          </w:tcPr>
          <w:p w:rsidRPr="00965195" w:rsidR="00F85043" w:rsidP="00CB428D" w:rsidRDefault="00965195" w14:paraId="06340E1D" w14:textId="22A5C035">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965195">
              <w:rPr>
                <w:rFonts w:asciiTheme="minorHAnsi" w:hAnsiTheme="minorHAnsi" w:cstheme="minorHAnsi"/>
                <w:sz w:val="22"/>
                <w:szCs w:val="22"/>
              </w:rPr>
              <w:t>Leaders create a safe, welcoming space where children typically enjoy play, learning and social activities and have daily access to outdoor learning.</w:t>
            </w:r>
          </w:p>
        </w:tc>
        <w:tc>
          <w:tcPr>
            <w:tcW w:w="6946" w:type="dxa"/>
          </w:tcPr>
          <w:p w:rsidRPr="00DC3EA1" w:rsidR="00F85043" w:rsidRDefault="00F85043" w14:paraId="160E1AE5" w14:textId="77777777">
            <w:pPr>
              <w:rPr>
                <w:rFonts w:ascii="Calibri" w:hAnsi="Calibri" w:cs="Calibri"/>
              </w:rPr>
            </w:pPr>
          </w:p>
        </w:tc>
        <w:tc>
          <w:tcPr>
            <w:tcW w:w="3544" w:type="dxa"/>
          </w:tcPr>
          <w:p w:rsidRPr="00DC3EA1" w:rsidR="00F85043" w:rsidRDefault="00F85043" w14:paraId="362A8B0C" w14:textId="77777777">
            <w:pPr>
              <w:rPr>
                <w:rFonts w:ascii="Calibri" w:hAnsi="Calibri" w:cs="Calibri"/>
              </w:rPr>
            </w:pPr>
          </w:p>
        </w:tc>
      </w:tr>
      <w:tr w:rsidRPr="00DC3EA1" w:rsidR="00F85043" w:rsidTr="00F85043" w14:paraId="5D4D2808" w14:textId="540E9295">
        <w:tc>
          <w:tcPr>
            <w:tcW w:w="4673" w:type="dxa"/>
          </w:tcPr>
          <w:p w:rsidRPr="003B3F0E" w:rsidR="00F85043" w:rsidP="00CB428D" w:rsidRDefault="003B3F0E" w14:paraId="724A8CE0" w14:textId="4588706C">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3B3F0E">
              <w:rPr>
                <w:rFonts w:asciiTheme="minorHAnsi" w:hAnsiTheme="minorHAnsi" w:cstheme="minorHAnsi"/>
                <w:sz w:val="22"/>
                <w:szCs w:val="22"/>
              </w:rPr>
              <w:t>Hygiene practices ensure that the personal needs of babies and children of all ages are met appropriately. Practitioners teach children to become increasingly independent in managing their personal needs.</w:t>
            </w:r>
          </w:p>
        </w:tc>
        <w:tc>
          <w:tcPr>
            <w:tcW w:w="6946" w:type="dxa"/>
          </w:tcPr>
          <w:p w:rsidRPr="00DC3EA1" w:rsidR="00F85043" w:rsidRDefault="00F85043" w14:paraId="310B705A" w14:textId="77777777">
            <w:pPr>
              <w:rPr>
                <w:rFonts w:ascii="Calibri" w:hAnsi="Calibri" w:cs="Calibri"/>
              </w:rPr>
            </w:pPr>
          </w:p>
        </w:tc>
        <w:tc>
          <w:tcPr>
            <w:tcW w:w="3544" w:type="dxa"/>
          </w:tcPr>
          <w:p w:rsidRPr="00DC3EA1" w:rsidR="00F85043" w:rsidRDefault="00F85043" w14:paraId="1EE1F3A8" w14:textId="77777777">
            <w:pPr>
              <w:rPr>
                <w:rFonts w:ascii="Calibri" w:hAnsi="Calibri" w:cs="Calibri"/>
              </w:rPr>
            </w:pPr>
          </w:p>
        </w:tc>
      </w:tr>
      <w:tr w:rsidRPr="00DC3EA1" w:rsidR="00F85043" w:rsidTr="00F85043" w14:paraId="70E34387" w14:textId="72DE88EA">
        <w:tc>
          <w:tcPr>
            <w:tcW w:w="4673" w:type="dxa"/>
          </w:tcPr>
          <w:p w:rsidRPr="00C615D3" w:rsidR="00F85043" w:rsidP="00CB428D" w:rsidRDefault="00C615D3" w14:paraId="66DCC169" w14:textId="7A0880CB">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C615D3">
              <w:rPr>
                <w:rFonts w:asciiTheme="minorHAnsi" w:hAnsiTheme="minorHAnsi" w:cstheme="minorHAnsi"/>
                <w:sz w:val="22"/>
                <w:szCs w:val="22"/>
              </w:rPr>
              <w:t>Practitioners teach children about making healthy choices about food, rest, exercise and screen time.</w:t>
            </w:r>
          </w:p>
        </w:tc>
        <w:tc>
          <w:tcPr>
            <w:tcW w:w="6946" w:type="dxa"/>
          </w:tcPr>
          <w:p w:rsidRPr="00DC3EA1" w:rsidR="00F85043" w:rsidRDefault="00F85043" w14:paraId="3DF4D4B4" w14:textId="77777777">
            <w:pPr>
              <w:rPr>
                <w:rFonts w:ascii="Calibri" w:hAnsi="Calibri" w:cs="Calibri"/>
              </w:rPr>
            </w:pPr>
          </w:p>
        </w:tc>
        <w:tc>
          <w:tcPr>
            <w:tcW w:w="3544" w:type="dxa"/>
          </w:tcPr>
          <w:p w:rsidRPr="00DC3EA1" w:rsidR="00F85043" w:rsidRDefault="00F85043" w14:paraId="7490C505" w14:textId="77777777">
            <w:pPr>
              <w:rPr>
                <w:rFonts w:ascii="Calibri" w:hAnsi="Calibri" w:cs="Calibri"/>
              </w:rPr>
            </w:pPr>
          </w:p>
        </w:tc>
      </w:tr>
      <w:tr w:rsidRPr="00DC3EA1" w:rsidR="00F85043" w:rsidTr="00F85043" w14:paraId="0E8BCAB9" w14:textId="54905D74">
        <w:tc>
          <w:tcPr>
            <w:tcW w:w="4673" w:type="dxa"/>
          </w:tcPr>
          <w:p w:rsidRPr="00BB303A" w:rsidR="00F85043" w:rsidP="00CB428D" w:rsidRDefault="00BB303A" w14:paraId="231DC275" w14:textId="60F19744">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BB303A">
              <w:rPr>
                <w:rFonts w:asciiTheme="minorHAnsi" w:hAnsiTheme="minorHAnsi" w:cstheme="minorHAnsi"/>
                <w:sz w:val="22"/>
                <w:szCs w:val="22"/>
              </w:rPr>
              <w:t>Leaders and practitioners provide a healthy diet. Practitioners make sure that mealtimes are opportunities to promote children’s good manners and social skills.</w:t>
            </w:r>
          </w:p>
        </w:tc>
        <w:tc>
          <w:tcPr>
            <w:tcW w:w="6946" w:type="dxa"/>
          </w:tcPr>
          <w:p w:rsidRPr="00DC3EA1" w:rsidR="00F85043" w:rsidRDefault="00F85043" w14:paraId="47B9BF0C" w14:textId="77777777">
            <w:pPr>
              <w:rPr>
                <w:rFonts w:ascii="Calibri" w:hAnsi="Calibri" w:cs="Calibri"/>
              </w:rPr>
            </w:pPr>
          </w:p>
        </w:tc>
        <w:tc>
          <w:tcPr>
            <w:tcW w:w="3544" w:type="dxa"/>
          </w:tcPr>
          <w:p w:rsidRPr="00DC3EA1" w:rsidR="00F85043" w:rsidRDefault="00F85043" w14:paraId="3BE30035" w14:textId="77777777">
            <w:pPr>
              <w:rPr>
                <w:rFonts w:ascii="Calibri" w:hAnsi="Calibri" w:cs="Calibri"/>
              </w:rPr>
            </w:pPr>
          </w:p>
        </w:tc>
      </w:tr>
      <w:tr w:rsidRPr="00DC3EA1" w:rsidR="00F85043" w:rsidTr="00F85043" w14:paraId="1BC5DDC3" w14:textId="13E4A613">
        <w:tc>
          <w:tcPr>
            <w:tcW w:w="4673" w:type="dxa"/>
          </w:tcPr>
          <w:p w:rsidRPr="00D63F74" w:rsidR="00F85043" w:rsidP="00CB428D" w:rsidRDefault="00D63F74" w14:paraId="4D079072" w14:textId="146E35F9">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D63F74">
              <w:rPr>
                <w:rFonts w:asciiTheme="minorHAnsi" w:hAnsiTheme="minorHAnsi" w:cstheme="minorHAnsi"/>
                <w:sz w:val="22"/>
                <w:szCs w:val="22"/>
              </w:rPr>
              <w:t>Practitioners support children to develop their physical and emotional health. They provide children with the age- and stage-appropriate knowledge that they need to stay safe and healthy.</w:t>
            </w:r>
          </w:p>
        </w:tc>
        <w:tc>
          <w:tcPr>
            <w:tcW w:w="6946" w:type="dxa"/>
          </w:tcPr>
          <w:p w:rsidRPr="00DC3EA1" w:rsidR="00F85043" w:rsidRDefault="00F85043" w14:paraId="363D4BB1" w14:textId="77777777">
            <w:pPr>
              <w:rPr>
                <w:rFonts w:ascii="Calibri" w:hAnsi="Calibri" w:cs="Calibri"/>
              </w:rPr>
            </w:pPr>
          </w:p>
        </w:tc>
        <w:tc>
          <w:tcPr>
            <w:tcW w:w="3544" w:type="dxa"/>
          </w:tcPr>
          <w:p w:rsidRPr="00DC3EA1" w:rsidR="00F85043" w:rsidRDefault="00F85043" w14:paraId="688D9CD1" w14:textId="77777777">
            <w:pPr>
              <w:rPr>
                <w:rFonts w:ascii="Calibri" w:hAnsi="Calibri" w:cs="Calibri"/>
              </w:rPr>
            </w:pPr>
          </w:p>
        </w:tc>
      </w:tr>
      <w:tr w:rsidRPr="00DC3EA1" w:rsidR="00F85043" w:rsidTr="00F85043" w14:paraId="6BB74E89" w14:textId="0989D470">
        <w:tc>
          <w:tcPr>
            <w:tcW w:w="4673" w:type="dxa"/>
          </w:tcPr>
          <w:p w:rsidRPr="008E1219" w:rsidR="00F85043" w:rsidP="00CB428D" w:rsidRDefault="008E1219" w14:paraId="336C9F3C" w14:textId="0BA1DDD6">
            <w:pPr>
              <w:pStyle w:val="NormalWeb"/>
              <w:numPr>
                <w:ilvl w:val="0"/>
                <w:numId w:val="15"/>
              </w:numPr>
              <w:spacing w:before="0" w:beforeAutospacing="0" w:after="0" w:afterAutospacing="0"/>
              <w:ind w:left="360"/>
              <w:rPr>
                <w:rStyle w:val="Strong"/>
                <w:rFonts w:asciiTheme="minorHAnsi" w:hAnsiTheme="minorHAnsi" w:cstheme="minorHAnsi"/>
                <w:color w:val="0B0C0C"/>
                <w:sz w:val="22"/>
                <w:szCs w:val="22"/>
              </w:rPr>
            </w:pPr>
            <w:r w:rsidRPr="008E1219">
              <w:rPr>
                <w:rFonts w:asciiTheme="minorHAnsi" w:hAnsiTheme="minorHAnsi" w:cstheme="minorHAnsi"/>
                <w:sz w:val="22"/>
                <w:szCs w:val="22"/>
              </w:rPr>
              <w:t>Children, especially disadvantaged children, those with SEND, those who are known (or previously known) to children’s social care, and those who may face other barriers to their learning and/or well-being, develop secure attachments and a sense of belonging through warm and positive relationships with key persons, which promote their well-being effectively.</w:t>
            </w:r>
          </w:p>
        </w:tc>
        <w:tc>
          <w:tcPr>
            <w:tcW w:w="6946" w:type="dxa"/>
          </w:tcPr>
          <w:p w:rsidRPr="00DC3EA1" w:rsidR="00F85043" w:rsidRDefault="00F85043" w14:paraId="69258DF9" w14:textId="77777777">
            <w:pPr>
              <w:rPr>
                <w:rFonts w:ascii="Calibri" w:hAnsi="Calibri" w:cs="Calibri"/>
              </w:rPr>
            </w:pPr>
          </w:p>
        </w:tc>
        <w:tc>
          <w:tcPr>
            <w:tcW w:w="3544" w:type="dxa"/>
          </w:tcPr>
          <w:p w:rsidRPr="00DC3EA1" w:rsidR="00F85043" w:rsidRDefault="00F85043" w14:paraId="60C47487" w14:textId="77777777">
            <w:pPr>
              <w:rPr>
                <w:rFonts w:ascii="Calibri" w:hAnsi="Calibri" w:cs="Calibri"/>
              </w:rPr>
            </w:pPr>
          </w:p>
        </w:tc>
      </w:tr>
      <w:tr w:rsidRPr="00DC3EA1" w:rsidR="007E049B" w:rsidTr="00FC1ED4" w14:paraId="3AFF6F85" w14:textId="77777777">
        <w:tc>
          <w:tcPr>
            <w:tcW w:w="15163" w:type="dxa"/>
            <w:gridSpan w:val="3"/>
            <w:shd w:val="clear" w:color="auto" w:fill="DEEAF6" w:themeFill="accent5" w:themeFillTint="33"/>
          </w:tcPr>
          <w:p w:rsidRPr="00DC3EA1" w:rsidR="007E049B" w:rsidP="00F81362" w:rsidRDefault="007E049B" w14:paraId="0F6F46E5" w14:textId="3B4FF2CB">
            <w:pPr>
              <w:rPr>
                <w:rFonts w:ascii="Calibri" w:hAnsi="Calibri" w:cs="Calibri"/>
                <w:b/>
                <w:bCs/>
              </w:rPr>
            </w:pPr>
            <w:r w:rsidRPr="007E049B">
              <w:rPr>
                <w:rFonts w:cstheme="minorHAnsi"/>
                <w:b/>
                <w:bCs/>
              </w:rPr>
              <w:t>Strong standard descriptors</w:t>
            </w:r>
          </w:p>
        </w:tc>
      </w:tr>
      <w:tr w:rsidRPr="00DC3EA1" w:rsidR="00F85043" w:rsidTr="00F85043" w14:paraId="1F00056B" w14:textId="77777777">
        <w:tc>
          <w:tcPr>
            <w:tcW w:w="4673" w:type="dxa"/>
            <w:shd w:val="clear" w:color="auto" w:fill="FFFFFF" w:themeFill="background1"/>
          </w:tcPr>
          <w:p w:rsidRPr="00A73C95" w:rsidR="00F85043" w:rsidP="00E1213B" w:rsidRDefault="00A73C95" w14:paraId="6163DDFF" w14:textId="65B55E3D">
            <w:pPr>
              <w:pStyle w:val="NormalWeb"/>
              <w:numPr>
                <w:ilvl w:val="0"/>
                <w:numId w:val="26"/>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A73C95">
              <w:rPr>
                <w:rFonts w:asciiTheme="minorHAnsi" w:hAnsiTheme="minorHAnsi" w:cstheme="minorHAnsi"/>
                <w:sz w:val="22"/>
                <w:szCs w:val="22"/>
              </w:rPr>
              <w:t>Leaders consistently prioritise children’s welfare and well-being, ensuring that policies, procedures and practices are rigorously reviewed, strategically adapted and effectively amended.</w:t>
            </w:r>
          </w:p>
        </w:tc>
        <w:tc>
          <w:tcPr>
            <w:tcW w:w="6946" w:type="dxa"/>
            <w:shd w:val="clear" w:color="auto" w:fill="FFFFFF" w:themeFill="background1"/>
          </w:tcPr>
          <w:p w:rsidRPr="00DC3EA1" w:rsidR="00F85043" w:rsidP="00F81362" w:rsidRDefault="00F85043" w14:paraId="4F487AE5" w14:textId="77777777">
            <w:pPr>
              <w:rPr>
                <w:rFonts w:ascii="Calibri" w:hAnsi="Calibri" w:cs="Calibri"/>
                <w:b/>
                <w:bCs/>
              </w:rPr>
            </w:pPr>
          </w:p>
        </w:tc>
        <w:tc>
          <w:tcPr>
            <w:tcW w:w="3544" w:type="dxa"/>
            <w:shd w:val="clear" w:color="auto" w:fill="FFFFFF" w:themeFill="background1"/>
          </w:tcPr>
          <w:p w:rsidRPr="00DC3EA1" w:rsidR="00F85043" w:rsidP="00F81362" w:rsidRDefault="00F85043" w14:paraId="2A9F7550" w14:textId="77777777">
            <w:pPr>
              <w:rPr>
                <w:rFonts w:ascii="Calibri" w:hAnsi="Calibri" w:cs="Calibri"/>
                <w:b/>
                <w:bCs/>
              </w:rPr>
            </w:pPr>
          </w:p>
        </w:tc>
      </w:tr>
      <w:tr w:rsidRPr="00DC3EA1" w:rsidR="00F85043" w:rsidTr="00F85043" w14:paraId="18D1F5AB" w14:textId="77777777">
        <w:tc>
          <w:tcPr>
            <w:tcW w:w="4673" w:type="dxa"/>
            <w:shd w:val="clear" w:color="auto" w:fill="FFFFFF" w:themeFill="background1"/>
          </w:tcPr>
          <w:p w:rsidRPr="00A73C95" w:rsidR="00F85043" w:rsidP="00E1213B" w:rsidRDefault="00A73C95" w14:paraId="409AD4E1" w14:textId="32E7EB1F">
            <w:pPr>
              <w:pStyle w:val="NormalWeb"/>
              <w:numPr>
                <w:ilvl w:val="0"/>
                <w:numId w:val="26"/>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A73C95">
              <w:rPr>
                <w:rFonts w:asciiTheme="minorHAnsi" w:hAnsiTheme="minorHAnsi" w:cstheme="minorHAnsi"/>
                <w:sz w:val="22"/>
                <w:szCs w:val="22"/>
              </w:rPr>
              <w:t>Leaders and practitioners have a comprehensive knowledge and understanding of the setting’s children. They are highly responsive to the varying needs and changing circumstances of individual children and families.</w:t>
            </w:r>
          </w:p>
        </w:tc>
        <w:tc>
          <w:tcPr>
            <w:tcW w:w="6946" w:type="dxa"/>
            <w:shd w:val="clear" w:color="auto" w:fill="FFFFFF" w:themeFill="background1"/>
          </w:tcPr>
          <w:p w:rsidRPr="00DC3EA1" w:rsidR="00F85043" w:rsidP="00F81362" w:rsidRDefault="00F85043" w14:paraId="0EE594E8" w14:textId="77777777">
            <w:pPr>
              <w:rPr>
                <w:rFonts w:ascii="Calibri" w:hAnsi="Calibri" w:cs="Calibri"/>
                <w:b/>
                <w:bCs/>
              </w:rPr>
            </w:pPr>
          </w:p>
        </w:tc>
        <w:tc>
          <w:tcPr>
            <w:tcW w:w="3544" w:type="dxa"/>
            <w:shd w:val="clear" w:color="auto" w:fill="FFFFFF" w:themeFill="background1"/>
          </w:tcPr>
          <w:p w:rsidRPr="00DC3EA1" w:rsidR="00F85043" w:rsidP="00F81362" w:rsidRDefault="00F85043" w14:paraId="188E419B" w14:textId="77777777">
            <w:pPr>
              <w:rPr>
                <w:rFonts w:ascii="Calibri" w:hAnsi="Calibri" w:cs="Calibri"/>
                <w:b/>
                <w:bCs/>
              </w:rPr>
            </w:pPr>
          </w:p>
        </w:tc>
      </w:tr>
      <w:tr w:rsidRPr="00DC3EA1" w:rsidR="00F85043" w:rsidTr="00F85043" w14:paraId="61C3DA81" w14:textId="77777777">
        <w:tc>
          <w:tcPr>
            <w:tcW w:w="4673" w:type="dxa"/>
            <w:shd w:val="clear" w:color="auto" w:fill="FFFFFF" w:themeFill="background1"/>
          </w:tcPr>
          <w:p w:rsidRPr="007A0658" w:rsidR="00F85043" w:rsidP="00E1213B" w:rsidRDefault="007A0658" w14:paraId="13D2A266" w14:textId="051AC846">
            <w:pPr>
              <w:pStyle w:val="NormalWeb"/>
              <w:numPr>
                <w:ilvl w:val="0"/>
                <w:numId w:val="26"/>
              </w:numPr>
              <w:tabs>
                <w:tab w:val="left" w:pos="1420"/>
              </w:tabs>
              <w:spacing w:before="0" w:beforeAutospacing="0" w:after="0" w:afterAutospacing="0"/>
              <w:ind w:left="360"/>
              <w:rPr>
                <w:rStyle w:val="Strong"/>
                <w:rFonts w:asciiTheme="minorHAnsi" w:hAnsiTheme="minorHAnsi" w:cstheme="minorHAnsi"/>
                <w:color w:val="0B0C0C"/>
                <w:sz w:val="22"/>
                <w:szCs w:val="22"/>
              </w:rPr>
            </w:pPr>
            <w:r w:rsidRPr="007A0658">
              <w:rPr>
                <w:rFonts w:asciiTheme="minorHAnsi" w:hAnsiTheme="minorHAnsi" w:cstheme="minorHAnsi"/>
                <w:sz w:val="22"/>
                <w:szCs w:val="22"/>
              </w:rPr>
              <w:t>Embedded and well-structured routines motivate children to develop long-lasting healthy habits, fostering a solid foundation for self-care, physical health and emotional wellbeing. As a result, children consistently make their own healthy choices and decisions.</w:t>
            </w:r>
          </w:p>
        </w:tc>
        <w:tc>
          <w:tcPr>
            <w:tcW w:w="6946" w:type="dxa"/>
            <w:shd w:val="clear" w:color="auto" w:fill="FFFFFF" w:themeFill="background1"/>
          </w:tcPr>
          <w:p w:rsidRPr="00DC3EA1" w:rsidR="00F85043" w:rsidP="00F81362" w:rsidRDefault="00F85043" w14:paraId="12ACED89" w14:textId="77777777">
            <w:pPr>
              <w:rPr>
                <w:rFonts w:ascii="Calibri" w:hAnsi="Calibri" w:cs="Calibri"/>
                <w:b/>
                <w:bCs/>
              </w:rPr>
            </w:pPr>
          </w:p>
        </w:tc>
        <w:tc>
          <w:tcPr>
            <w:tcW w:w="3544" w:type="dxa"/>
            <w:shd w:val="clear" w:color="auto" w:fill="FFFFFF" w:themeFill="background1"/>
          </w:tcPr>
          <w:p w:rsidRPr="00DC3EA1" w:rsidR="00F85043" w:rsidP="00F81362" w:rsidRDefault="00F85043" w14:paraId="0F216961" w14:textId="77777777">
            <w:pPr>
              <w:rPr>
                <w:rFonts w:ascii="Calibri" w:hAnsi="Calibri" w:cs="Calibri"/>
                <w:b/>
                <w:bCs/>
              </w:rPr>
            </w:pPr>
          </w:p>
        </w:tc>
      </w:tr>
      <w:tr w:rsidRPr="00DC3EA1" w:rsidR="00F85043" w:rsidTr="00F0435C" w14:paraId="4145B8E8" w14:textId="09736398">
        <w:tc>
          <w:tcPr>
            <w:tcW w:w="4673" w:type="dxa"/>
            <w:shd w:val="clear" w:color="auto" w:fill="9CC2E5" w:themeFill="accent5" w:themeFillTint="99"/>
          </w:tcPr>
          <w:p w:rsidR="00F85043" w:rsidP="00866332" w:rsidRDefault="00F85043" w14:paraId="784714E2" w14:textId="137AED4B">
            <w:pPr>
              <w:pStyle w:val="NormalWeb"/>
              <w:tabs>
                <w:tab w:val="left" w:pos="1420"/>
                <w:tab w:val="left" w:pos="3580"/>
              </w:tabs>
              <w:spacing w:before="0" w:beforeAutospacing="0" w:after="0" w:afterAutospacing="0"/>
              <w:rPr>
                <w:rFonts w:asciiTheme="minorHAnsi" w:hAnsiTheme="minorHAnsi" w:cstheme="minorHAnsi"/>
                <w:b/>
                <w:bCs/>
                <w:sz w:val="22"/>
                <w:szCs w:val="22"/>
              </w:rPr>
            </w:pPr>
            <w:r w:rsidRPr="009E2993">
              <w:rPr>
                <w:rFonts w:asciiTheme="minorHAnsi" w:hAnsiTheme="minorHAnsi" w:cstheme="minorHAnsi"/>
                <w:b/>
                <w:bCs/>
                <w:sz w:val="22"/>
                <w:szCs w:val="22"/>
              </w:rPr>
              <w:t xml:space="preserve">Leadership and governance </w:t>
            </w:r>
          </w:p>
          <w:p w:rsidRPr="00806AB0" w:rsidR="00F85043" w:rsidP="00866332" w:rsidRDefault="00F85043" w14:paraId="60E79A78" w14:textId="6DBED820">
            <w:pPr>
              <w:pStyle w:val="NormalWeb"/>
              <w:tabs>
                <w:tab w:val="left" w:pos="1420"/>
                <w:tab w:val="left" w:pos="3580"/>
              </w:tabs>
              <w:spacing w:before="0" w:beforeAutospacing="0" w:after="0" w:afterAutospacing="0"/>
              <w:rPr>
                <w:rFonts w:asciiTheme="minorHAnsi" w:hAnsiTheme="minorHAnsi" w:cstheme="minorHAnsi"/>
                <w:sz w:val="22"/>
                <w:szCs w:val="22"/>
              </w:rPr>
            </w:pPr>
            <w:r w:rsidRPr="00806AB0">
              <w:rPr>
                <w:rFonts w:asciiTheme="minorHAnsi" w:hAnsiTheme="minorHAnsi" w:cstheme="minorHAnsi"/>
                <w:sz w:val="22"/>
                <w:szCs w:val="22"/>
              </w:rPr>
              <w:t xml:space="preserve">Our </w:t>
            </w:r>
            <w:r>
              <w:rPr>
                <w:rFonts w:asciiTheme="minorHAnsi" w:hAnsiTheme="minorHAnsi" w:cstheme="minorHAnsi"/>
                <w:sz w:val="22"/>
                <w:szCs w:val="22"/>
              </w:rPr>
              <w:t>s</w:t>
            </w:r>
            <w:r>
              <w:t>elf-</w:t>
            </w:r>
            <w:r w:rsidRPr="00806AB0">
              <w:rPr>
                <w:rFonts w:asciiTheme="minorHAnsi" w:hAnsiTheme="minorHAnsi" w:cstheme="minorHAnsi"/>
                <w:sz w:val="22"/>
                <w:szCs w:val="22"/>
              </w:rPr>
              <w:t xml:space="preserve">assessment = </w:t>
            </w:r>
          </w:p>
        </w:tc>
        <w:tc>
          <w:tcPr>
            <w:tcW w:w="6946" w:type="dxa"/>
            <w:shd w:val="clear" w:color="auto" w:fill="DEEAF6" w:themeFill="accent5" w:themeFillTint="33"/>
          </w:tcPr>
          <w:p w:rsidRPr="00DC3EA1" w:rsidR="00F85043" w:rsidP="00F81362" w:rsidRDefault="00F85043" w14:paraId="301DD06D" w14:textId="02F14A2B">
            <w:pPr>
              <w:rPr>
                <w:rFonts w:ascii="Calibri" w:hAnsi="Calibri" w:cs="Calibri"/>
              </w:rPr>
            </w:pPr>
            <w:r w:rsidRPr="00DC3EA1">
              <w:rPr>
                <w:rFonts w:ascii="Calibri" w:hAnsi="Calibri" w:cs="Calibri"/>
                <w:b/>
                <w:bCs/>
              </w:rPr>
              <w:t>Strengths and evidence</w:t>
            </w:r>
          </w:p>
        </w:tc>
        <w:tc>
          <w:tcPr>
            <w:tcW w:w="3544" w:type="dxa"/>
            <w:shd w:val="clear" w:color="auto" w:fill="DEEAF6" w:themeFill="accent5" w:themeFillTint="33"/>
          </w:tcPr>
          <w:p w:rsidRPr="00DC3EA1" w:rsidR="00F85043" w:rsidP="00F42997" w:rsidRDefault="00F85043" w14:paraId="49832F1C" w14:textId="77777777">
            <w:pPr>
              <w:rPr>
                <w:rFonts w:ascii="Calibri" w:hAnsi="Calibri" w:cs="Calibri"/>
                <w:b/>
                <w:bCs/>
              </w:rPr>
            </w:pPr>
            <w:r w:rsidRPr="00DC3EA1">
              <w:rPr>
                <w:rFonts w:ascii="Calibri" w:hAnsi="Calibri" w:cs="Calibri"/>
                <w:b/>
                <w:bCs/>
              </w:rPr>
              <w:t>Areas for development</w:t>
            </w:r>
          </w:p>
          <w:p w:rsidRPr="00DC3EA1" w:rsidR="00F85043" w:rsidP="00F42997" w:rsidRDefault="00F85043" w14:paraId="02D1AF7B" w14:textId="2515BC05">
            <w:pPr>
              <w:rPr>
                <w:rFonts w:ascii="Calibri" w:hAnsi="Calibri" w:cs="Calibri"/>
              </w:rPr>
            </w:pPr>
          </w:p>
        </w:tc>
      </w:tr>
      <w:tr w:rsidRPr="009E2993" w:rsidR="007E049B" w:rsidTr="00F0435C" w14:paraId="5BAB51B6" w14:textId="77777777">
        <w:tc>
          <w:tcPr>
            <w:tcW w:w="15163" w:type="dxa"/>
            <w:gridSpan w:val="3"/>
            <w:shd w:val="clear" w:color="auto" w:fill="DEEAF6" w:themeFill="accent5" w:themeFillTint="33"/>
          </w:tcPr>
          <w:p w:rsidRPr="009E2993" w:rsidR="007E049B" w:rsidP="00F81362" w:rsidRDefault="007E049B" w14:paraId="3C2467B5" w14:textId="74EE1AC6">
            <w:pPr>
              <w:rPr>
                <w:rFonts w:ascii="Calibri" w:hAnsi="Calibri" w:cs="Calibri"/>
              </w:rPr>
            </w:pPr>
            <w:r w:rsidRPr="007E049B">
              <w:rPr>
                <w:rFonts w:ascii="Calibri" w:hAnsi="Calibri" w:cs="Calibri"/>
                <w:b/>
                <w:bCs/>
              </w:rPr>
              <w:t>Expected standard descriptors</w:t>
            </w:r>
          </w:p>
        </w:tc>
      </w:tr>
      <w:tr w:rsidRPr="009E2993" w:rsidR="00F85043" w:rsidTr="00F85043" w14:paraId="58C1B333" w14:textId="0933CB61">
        <w:tc>
          <w:tcPr>
            <w:tcW w:w="4673" w:type="dxa"/>
          </w:tcPr>
          <w:p w:rsidRPr="00BB73E3" w:rsidR="00F85043" w:rsidP="00CB428D" w:rsidRDefault="00BB73E3" w14:paraId="119BC10F" w14:textId="17E74BB9">
            <w:pPr>
              <w:pStyle w:val="NormalWeb"/>
              <w:numPr>
                <w:ilvl w:val="0"/>
                <w:numId w:val="13"/>
              </w:numPr>
              <w:tabs>
                <w:tab w:val="left" w:pos="1420"/>
                <w:tab w:val="left" w:pos="3580"/>
              </w:tabs>
              <w:spacing w:before="0" w:beforeAutospacing="0" w:after="0" w:afterAutospacing="0"/>
              <w:ind w:left="360"/>
              <w:rPr>
                <w:rFonts w:asciiTheme="minorHAnsi" w:hAnsiTheme="minorHAnsi" w:cstheme="minorHAnsi"/>
                <w:sz w:val="22"/>
                <w:szCs w:val="22"/>
              </w:rPr>
            </w:pPr>
            <w:r w:rsidRPr="00BB73E3">
              <w:rPr>
                <w:rFonts w:asciiTheme="minorHAnsi" w:hAnsiTheme="minorHAnsi" w:cstheme="minorHAnsi"/>
                <w:sz w:val="22"/>
                <w:szCs w:val="22"/>
              </w:rPr>
              <w:t>Leaders understand the setting’s context, strengths and areas for development. They are ambitious for children, taking appropriate action to drive improvement and/or maintain high standards of education and care. When improvements are needed, leaders’ actions are timely and effective.</w:t>
            </w:r>
          </w:p>
        </w:tc>
        <w:tc>
          <w:tcPr>
            <w:tcW w:w="6946" w:type="dxa"/>
          </w:tcPr>
          <w:p w:rsidRPr="009E2993" w:rsidR="00F85043" w:rsidP="00F81362" w:rsidRDefault="00F85043" w14:paraId="1F4A0789" w14:textId="77777777">
            <w:pPr>
              <w:rPr>
                <w:rFonts w:ascii="Calibri" w:hAnsi="Calibri" w:cs="Calibri"/>
              </w:rPr>
            </w:pPr>
          </w:p>
        </w:tc>
        <w:tc>
          <w:tcPr>
            <w:tcW w:w="3544" w:type="dxa"/>
          </w:tcPr>
          <w:p w:rsidRPr="009E2993" w:rsidR="00F85043" w:rsidP="00F81362" w:rsidRDefault="00F85043" w14:paraId="760FD740" w14:textId="77777777">
            <w:pPr>
              <w:rPr>
                <w:rFonts w:ascii="Calibri" w:hAnsi="Calibri" w:cs="Calibri"/>
              </w:rPr>
            </w:pPr>
          </w:p>
        </w:tc>
      </w:tr>
      <w:tr w:rsidRPr="009E2993" w:rsidR="00F85043" w:rsidTr="00F85043" w14:paraId="7C23F216" w14:textId="2803C051">
        <w:tc>
          <w:tcPr>
            <w:tcW w:w="4673" w:type="dxa"/>
          </w:tcPr>
          <w:p w:rsidRPr="00BB73E3" w:rsidR="00F85043" w:rsidP="00CB428D" w:rsidRDefault="00BB73E3" w14:paraId="3358654B" w14:textId="33B54278">
            <w:pPr>
              <w:pStyle w:val="NormalWeb"/>
              <w:numPr>
                <w:ilvl w:val="0"/>
                <w:numId w:val="13"/>
              </w:numPr>
              <w:tabs>
                <w:tab w:val="left" w:pos="1420"/>
                <w:tab w:val="left" w:pos="3580"/>
              </w:tabs>
              <w:spacing w:before="0" w:beforeAutospacing="0" w:after="0" w:afterAutospacing="0"/>
              <w:ind w:left="360"/>
              <w:rPr>
                <w:rFonts w:asciiTheme="minorHAnsi" w:hAnsiTheme="minorHAnsi" w:cstheme="minorHAnsi"/>
                <w:sz w:val="22"/>
                <w:szCs w:val="22"/>
              </w:rPr>
            </w:pPr>
            <w:r w:rsidRPr="00BB73E3">
              <w:rPr>
                <w:rFonts w:asciiTheme="minorHAnsi" w:hAnsiTheme="minorHAnsi" w:cstheme="minorHAnsi"/>
                <w:sz w:val="22"/>
                <w:szCs w:val="22"/>
              </w:rPr>
              <w:t>The nominated individual ensures that leaders have a suitable vision and strategy for the quality of provision and that resources are managed well. They typically support and challenge leaders appropriately, giving due regard to leaders’ well-being and workload.</w:t>
            </w:r>
          </w:p>
        </w:tc>
        <w:tc>
          <w:tcPr>
            <w:tcW w:w="6946" w:type="dxa"/>
          </w:tcPr>
          <w:p w:rsidRPr="009E2993" w:rsidR="00F85043" w:rsidP="00F81362" w:rsidRDefault="00F85043" w14:paraId="6132CEFA" w14:textId="77777777">
            <w:pPr>
              <w:rPr>
                <w:rFonts w:ascii="Calibri" w:hAnsi="Calibri" w:cs="Calibri"/>
              </w:rPr>
            </w:pPr>
          </w:p>
        </w:tc>
        <w:tc>
          <w:tcPr>
            <w:tcW w:w="3544" w:type="dxa"/>
          </w:tcPr>
          <w:p w:rsidRPr="009E2993" w:rsidR="00F85043" w:rsidP="00F81362" w:rsidRDefault="00F85043" w14:paraId="753B39C3" w14:textId="77777777">
            <w:pPr>
              <w:rPr>
                <w:rFonts w:ascii="Calibri" w:hAnsi="Calibri" w:cs="Calibri"/>
              </w:rPr>
            </w:pPr>
          </w:p>
        </w:tc>
      </w:tr>
      <w:tr w:rsidRPr="009E2993" w:rsidR="00F85043" w:rsidTr="00F85043" w14:paraId="00A19639" w14:textId="0179EF13">
        <w:tc>
          <w:tcPr>
            <w:tcW w:w="4673" w:type="dxa"/>
          </w:tcPr>
          <w:p w:rsidRPr="00646978" w:rsidR="00F85043" w:rsidP="00CB428D" w:rsidRDefault="00646978" w14:paraId="14D03AB3" w14:textId="69C938C7">
            <w:pPr>
              <w:pStyle w:val="NormalWeb"/>
              <w:numPr>
                <w:ilvl w:val="0"/>
                <w:numId w:val="13"/>
              </w:numPr>
              <w:tabs>
                <w:tab w:val="left" w:pos="1420"/>
                <w:tab w:val="left" w:pos="3580"/>
              </w:tabs>
              <w:spacing w:before="0" w:beforeAutospacing="0" w:after="0" w:afterAutospacing="0"/>
              <w:ind w:left="360"/>
              <w:rPr>
                <w:rFonts w:asciiTheme="minorHAnsi" w:hAnsiTheme="minorHAnsi" w:cstheme="minorHAnsi"/>
                <w:sz w:val="22"/>
                <w:szCs w:val="22"/>
              </w:rPr>
            </w:pPr>
            <w:r w:rsidRPr="00646978">
              <w:rPr>
                <w:rFonts w:asciiTheme="minorHAnsi" w:hAnsiTheme="minorHAnsi" w:cstheme="minorHAnsi"/>
                <w:sz w:val="22"/>
                <w:szCs w:val="22"/>
              </w:rPr>
              <w:t>Leaders provide regular, relevant and appropriate professional learning and expertise opportunities and constructive feedback for all practitioners, which equips them to carry out their roles successfully.</w:t>
            </w:r>
          </w:p>
        </w:tc>
        <w:tc>
          <w:tcPr>
            <w:tcW w:w="6946" w:type="dxa"/>
          </w:tcPr>
          <w:p w:rsidRPr="009E2993" w:rsidR="00F85043" w:rsidP="00F81362" w:rsidRDefault="00F85043" w14:paraId="1368ADB6" w14:textId="77777777">
            <w:pPr>
              <w:rPr>
                <w:rFonts w:ascii="Calibri" w:hAnsi="Calibri" w:cs="Calibri"/>
              </w:rPr>
            </w:pPr>
          </w:p>
        </w:tc>
        <w:tc>
          <w:tcPr>
            <w:tcW w:w="3544" w:type="dxa"/>
          </w:tcPr>
          <w:p w:rsidRPr="009E2993" w:rsidR="00F85043" w:rsidP="00F81362" w:rsidRDefault="00F85043" w14:paraId="31DCD9F0" w14:textId="77777777">
            <w:pPr>
              <w:rPr>
                <w:rFonts w:ascii="Calibri" w:hAnsi="Calibri" w:cs="Calibri"/>
              </w:rPr>
            </w:pPr>
          </w:p>
        </w:tc>
      </w:tr>
      <w:tr w:rsidRPr="009E2993" w:rsidR="00F85043" w:rsidTr="00F85043" w14:paraId="042425AA" w14:textId="003D160A">
        <w:tc>
          <w:tcPr>
            <w:tcW w:w="4673" w:type="dxa"/>
          </w:tcPr>
          <w:p w:rsidRPr="00646978" w:rsidR="00F85043" w:rsidP="00CB428D" w:rsidRDefault="00646978" w14:paraId="259FF4C5" w14:textId="07B2A407">
            <w:pPr>
              <w:pStyle w:val="NormalWeb"/>
              <w:numPr>
                <w:ilvl w:val="0"/>
                <w:numId w:val="13"/>
              </w:numPr>
              <w:tabs>
                <w:tab w:val="left" w:pos="1420"/>
                <w:tab w:val="left" w:pos="3580"/>
              </w:tabs>
              <w:spacing w:before="0" w:beforeAutospacing="0" w:after="0" w:afterAutospacing="0"/>
              <w:ind w:left="360"/>
              <w:rPr>
                <w:rFonts w:asciiTheme="minorHAnsi" w:hAnsiTheme="minorHAnsi" w:cstheme="minorHAnsi"/>
                <w:sz w:val="22"/>
                <w:szCs w:val="22"/>
              </w:rPr>
            </w:pPr>
            <w:r w:rsidRPr="00646978">
              <w:rPr>
                <w:rFonts w:asciiTheme="minorHAnsi" w:hAnsiTheme="minorHAnsi" w:cstheme="minorHAnsi"/>
                <w:sz w:val="22"/>
                <w:szCs w:val="22"/>
              </w:rPr>
              <w:t>Leaders take action to ensure that staff feel valued and workload is manageable. They avoid creating unnecessary burdens.</w:t>
            </w:r>
          </w:p>
        </w:tc>
        <w:tc>
          <w:tcPr>
            <w:tcW w:w="6946" w:type="dxa"/>
          </w:tcPr>
          <w:p w:rsidRPr="009E2993" w:rsidR="00F85043" w:rsidP="00F81362" w:rsidRDefault="00F85043" w14:paraId="047DF180" w14:textId="77777777">
            <w:pPr>
              <w:rPr>
                <w:rFonts w:ascii="Calibri" w:hAnsi="Calibri" w:cs="Calibri"/>
              </w:rPr>
            </w:pPr>
          </w:p>
        </w:tc>
        <w:tc>
          <w:tcPr>
            <w:tcW w:w="3544" w:type="dxa"/>
          </w:tcPr>
          <w:p w:rsidRPr="009E2993" w:rsidR="00F85043" w:rsidP="00F81362" w:rsidRDefault="00F85043" w14:paraId="6EA67D5C" w14:textId="77777777">
            <w:pPr>
              <w:rPr>
                <w:rFonts w:ascii="Calibri" w:hAnsi="Calibri" w:cs="Calibri"/>
              </w:rPr>
            </w:pPr>
          </w:p>
        </w:tc>
      </w:tr>
      <w:tr w:rsidRPr="009E2993" w:rsidR="00F85043" w:rsidTr="00F85043" w14:paraId="165B07E2" w14:textId="4276E5AE">
        <w:tc>
          <w:tcPr>
            <w:tcW w:w="4673" w:type="dxa"/>
          </w:tcPr>
          <w:p w:rsidRPr="005202BA" w:rsidR="00F85043" w:rsidP="00CB428D" w:rsidRDefault="005202BA" w14:paraId="422CD8A2" w14:textId="0D3B9ECE">
            <w:pPr>
              <w:pStyle w:val="NormalWeb"/>
              <w:numPr>
                <w:ilvl w:val="0"/>
                <w:numId w:val="13"/>
              </w:numPr>
              <w:tabs>
                <w:tab w:val="left" w:pos="1420"/>
                <w:tab w:val="left" w:pos="3580"/>
              </w:tabs>
              <w:spacing w:before="0" w:beforeAutospacing="0" w:after="0" w:afterAutospacing="0"/>
              <w:ind w:left="360"/>
              <w:rPr>
                <w:rFonts w:asciiTheme="minorHAnsi" w:hAnsiTheme="minorHAnsi" w:cstheme="minorHAnsi"/>
                <w:sz w:val="22"/>
                <w:szCs w:val="22"/>
              </w:rPr>
            </w:pPr>
            <w:r w:rsidRPr="005202BA">
              <w:rPr>
                <w:rFonts w:asciiTheme="minorHAnsi" w:hAnsiTheme="minorHAnsi" w:cstheme="minorHAnsi"/>
                <w:sz w:val="22"/>
                <w:szCs w:val="22"/>
              </w:rPr>
              <w:t>Leaders engage with parents and professionals thoughtfully and positively in a way that supports children’s education and care. This includes at times of transition, to enable children to settle quickly when they start at the setting and move on seamlessly to other settings or school, when appropriate.</w:t>
            </w:r>
          </w:p>
        </w:tc>
        <w:tc>
          <w:tcPr>
            <w:tcW w:w="6946" w:type="dxa"/>
          </w:tcPr>
          <w:p w:rsidRPr="009E2993" w:rsidR="00F85043" w:rsidP="00F81362" w:rsidRDefault="00F85043" w14:paraId="4D7F9ED6" w14:textId="77777777">
            <w:pPr>
              <w:rPr>
                <w:rFonts w:ascii="Calibri" w:hAnsi="Calibri" w:cs="Calibri"/>
              </w:rPr>
            </w:pPr>
          </w:p>
        </w:tc>
        <w:tc>
          <w:tcPr>
            <w:tcW w:w="3544" w:type="dxa"/>
          </w:tcPr>
          <w:p w:rsidRPr="009E2993" w:rsidR="00F85043" w:rsidP="00F81362" w:rsidRDefault="00F85043" w14:paraId="33FD455E" w14:textId="77777777">
            <w:pPr>
              <w:rPr>
                <w:rFonts w:ascii="Calibri" w:hAnsi="Calibri" w:cs="Calibri"/>
              </w:rPr>
            </w:pPr>
          </w:p>
        </w:tc>
      </w:tr>
      <w:tr w:rsidRPr="009E2993" w:rsidR="007E049B" w:rsidTr="00F0435C" w14:paraId="64452AB2" w14:textId="77777777">
        <w:tc>
          <w:tcPr>
            <w:tcW w:w="15163" w:type="dxa"/>
            <w:gridSpan w:val="3"/>
            <w:shd w:val="clear" w:color="auto" w:fill="DEEAF6" w:themeFill="accent5" w:themeFillTint="33"/>
          </w:tcPr>
          <w:p w:rsidRPr="009E2993" w:rsidR="007E049B" w:rsidP="00F81362" w:rsidRDefault="007E049B" w14:paraId="6DE156A6" w14:textId="6EBA2AF9">
            <w:pPr>
              <w:rPr>
                <w:rFonts w:ascii="Calibri" w:hAnsi="Calibri" w:cs="Calibri"/>
              </w:rPr>
            </w:pPr>
            <w:r w:rsidRPr="00EB68B0">
              <w:rPr>
                <w:rFonts w:ascii="Calibri" w:hAnsi="Calibri" w:cs="Calibri"/>
                <w:b/>
                <w:bCs/>
              </w:rPr>
              <w:t>Strong standard descriptors</w:t>
            </w:r>
          </w:p>
        </w:tc>
      </w:tr>
      <w:tr w:rsidRPr="005450F8" w:rsidR="00F85043" w:rsidTr="00F85043" w14:paraId="3FC9B37E" w14:textId="77777777">
        <w:tc>
          <w:tcPr>
            <w:tcW w:w="4673" w:type="dxa"/>
          </w:tcPr>
          <w:p w:rsidRPr="00027796" w:rsidR="00F85043" w:rsidP="005450F8" w:rsidRDefault="00027796" w14:paraId="75B9A6F8" w14:textId="112C8751">
            <w:pPr>
              <w:pStyle w:val="NormalWeb"/>
              <w:numPr>
                <w:ilvl w:val="0"/>
                <w:numId w:val="28"/>
              </w:numPr>
              <w:tabs>
                <w:tab w:val="left" w:pos="1420"/>
                <w:tab w:val="left" w:pos="3580"/>
              </w:tabs>
              <w:spacing w:before="0" w:beforeAutospacing="0" w:after="0" w:afterAutospacing="0"/>
              <w:ind w:left="360"/>
              <w:rPr>
                <w:rFonts w:asciiTheme="minorHAnsi" w:hAnsiTheme="minorHAnsi" w:cstheme="minorHAnsi"/>
                <w:sz w:val="22"/>
                <w:szCs w:val="22"/>
              </w:rPr>
            </w:pPr>
            <w:r w:rsidRPr="00027796">
              <w:rPr>
                <w:rFonts w:asciiTheme="minorHAnsi" w:hAnsiTheme="minorHAnsi" w:cstheme="minorHAnsi"/>
                <w:sz w:val="22"/>
                <w:szCs w:val="22"/>
              </w:rPr>
              <w:t>Leaders use their detailed and perceptive analysis of the setting’s strengths and areas for improvement, alongside any changes in context, to understand the effectiveness of their provision, working in partnership with the nominated individual, when appropriate. They are adaptive and responsive to the setting’s changing needs and circumstances so that they have a consistent focus on securing excellence for all children</w:t>
            </w:r>
            <w:r>
              <w:rPr>
                <w:rFonts w:asciiTheme="minorHAnsi" w:hAnsiTheme="minorHAnsi" w:cstheme="minorHAnsi"/>
                <w:sz w:val="22"/>
                <w:szCs w:val="22"/>
              </w:rPr>
              <w:t>.</w:t>
            </w:r>
          </w:p>
        </w:tc>
        <w:tc>
          <w:tcPr>
            <w:tcW w:w="6946" w:type="dxa"/>
          </w:tcPr>
          <w:p w:rsidRPr="005450F8" w:rsidR="00F85043" w:rsidP="00F81362" w:rsidRDefault="00F85043" w14:paraId="6E477419" w14:textId="77777777">
            <w:pPr>
              <w:rPr>
                <w:rFonts w:ascii="Calibri" w:hAnsi="Calibri" w:cs="Calibri"/>
              </w:rPr>
            </w:pPr>
          </w:p>
        </w:tc>
        <w:tc>
          <w:tcPr>
            <w:tcW w:w="3544" w:type="dxa"/>
          </w:tcPr>
          <w:p w:rsidRPr="005450F8" w:rsidR="00F85043" w:rsidP="00F81362" w:rsidRDefault="00F85043" w14:paraId="463DD499" w14:textId="77777777">
            <w:pPr>
              <w:rPr>
                <w:rFonts w:ascii="Calibri" w:hAnsi="Calibri" w:cs="Calibri"/>
              </w:rPr>
            </w:pPr>
          </w:p>
        </w:tc>
      </w:tr>
      <w:tr w:rsidRPr="005450F8" w:rsidR="00F85043" w:rsidTr="00F85043" w14:paraId="19AA4D77" w14:textId="77777777">
        <w:tc>
          <w:tcPr>
            <w:tcW w:w="4673" w:type="dxa"/>
          </w:tcPr>
          <w:p w:rsidRPr="00AF2A94" w:rsidR="00F85043" w:rsidP="005450F8" w:rsidRDefault="00AF2A94" w14:paraId="0EBBB4C6" w14:textId="76867B7E">
            <w:pPr>
              <w:pStyle w:val="NormalWeb"/>
              <w:numPr>
                <w:ilvl w:val="0"/>
                <w:numId w:val="28"/>
              </w:numPr>
              <w:tabs>
                <w:tab w:val="left" w:pos="1420"/>
                <w:tab w:val="left" w:pos="3580"/>
              </w:tabs>
              <w:spacing w:before="0" w:beforeAutospacing="0" w:after="0" w:afterAutospacing="0"/>
              <w:ind w:left="360"/>
              <w:rPr>
                <w:rFonts w:asciiTheme="minorHAnsi" w:hAnsiTheme="minorHAnsi" w:cstheme="minorHAnsi"/>
                <w:sz w:val="22"/>
                <w:szCs w:val="22"/>
              </w:rPr>
            </w:pPr>
            <w:r w:rsidRPr="00AF2A94">
              <w:rPr>
                <w:rFonts w:asciiTheme="minorHAnsi" w:hAnsiTheme="minorHAnsi" w:cstheme="minorHAnsi"/>
                <w:sz w:val="22"/>
                <w:szCs w:val="22"/>
              </w:rPr>
              <w:t>Leaders ensure that a culture of high expectations and professionalism is embedded across the setting. Staff make a consistently strong, positive contribution to improving the quality of provision. This makes a significant, positive difference to children’s education and care.</w:t>
            </w:r>
          </w:p>
        </w:tc>
        <w:tc>
          <w:tcPr>
            <w:tcW w:w="6946" w:type="dxa"/>
          </w:tcPr>
          <w:p w:rsidRPr="005450F8" w:rsidR="00F85043" w:rsidP="00F81362" w:rsidRDefault="00F85043" w14:paraId="5212C9A0" w14:textId="77777777">
            <w:pPr>
              <w:rPr>
                <w:rFonts w:ascii="Calibri" w:hAnsi="Calibri" w:cs="Calibri"/>
              </w:rPr>
            </w:pPr>
          </w:p>
        </w:tc>
        <w:tc>
          <w:tcPr>
            <w:tcW w:w="3544" w:type="dxa"/>
          </w:tcPr>
          <w:p w:rsidRPr="005450F8" w:rsidR="00F85043" w:rsidP="00F81362" w:rsidRDefault="00F85043" w14:paraId="35CDD3B8" w14:textId="77777777">
            <w:pPr>
              <w:rPr>
                <w:rFonts w:ascii="Calibri" w:hAnsi="Calibri" w:cs="Calibri"/>
              </w:rPr>
            </w:pPr>
          </w:p>
        </w:tc>
      </w:tr>
      <w:tr w:rsidRPr="005450F8" w:rsidR="00F85043" w:rsidTr="00F85043" w14:paraId="10EE57D8" w14:textId="77777777">
        <w:tc>
          <w:tcPr>
            <w:tcW w:w="4673" w:type="dxa"/>
          </w:tcPr>
          <w:p w:rsidRPr="00A15E2C" w:rsidR="00F85043" w:rsidP="005450F8" w:rsidRDefault="00A15E2C" w14:paraId="4DFDEA0D" w14:textId="43E0FEC1">
            <w:pPr>
              <w:pStyle w:val="NormalWeb"/>
              <w:numPr>
                <w:ilvl w:val="0"/>
                <w:numId w:val="28"/>
              </w:numPr>
              <w:tabs>
                <w:tab w:val="left" w:pos="1420"/>
                <w:tab w:val="left" w:pos="3580"/>
              </w:tabs>
              <w:spacing w:before="0" w:beforeAutospacing="0" w:after="0" w:afterAutospacing="0"/>
              <w:ind w:left="360"/>
              <w:rPr>
                <w:rFonts w:asciiTheme="minorHAnsi" w:hAnsiTheme="minorHAnsi" w:cstheme="minorHAnsi"/>
                <w:sz w:val="22"/>
                <w:szCs w:val="22"/>
              </w:rPr>
            </w:pPr>
            <w:r w:rsidRPr="00A15E2C">
              <w:rPr>
                <w:rFonts w:asciiTheme="minorHAnsi" w:hAnsiTheme="minorHAnsi" w:cstheme="minorHAnsi"/>
                <w:sz w:val="22"/>
                <w:szCs w:val="22"/>
              </w:rPr>
              <w:t>Leaders have instilled a culture of continuous improvement in which staff consistently ask for, accept and offer feedback as part of improving their practice and the provision overall. Professional learning and expertise opportunities are of high quality and are precisely matched to improvement priorities and the individual needs of practitioners. They have a positive impact on the quality of provision and on practitioners’ practice.</w:t>
            </w:r>
          </w:p>
        </w:tc>
        <w:tc>
          <w:tcPr>
            <w:tcW w:w="6946" w:type="dxa"/>
          </w:tcPr>
          <w:p w:rsidRPr="005450F8" w:rsidR="00F85043" w:rsidP="00F81362" w:rsidRDefault="00F85043" w14:paraId="2108C9EB" w14:textId="77777777">
            <w:pPr>
              <w:rPr>
                <w:rFonts w:ascii="Calibri" w:hAnsi="Calibri" w:cs="Calibri"/>
              </w:rPr>
            </w:pPr>
          </w:p>
        </w:tc>
        <w:tc>
          <w:tcPr>
            <w:tcW w:w="3544" w:type="dxa"/>
          </w:tcPr>
          <w:p w:rsidRPr="005450F8" w:rsidR="00F85043" w:rsidP="00F81362" w:rsidRDefault="00F85043" w14:paraId="69370400" w14:textId="77777777">
            <w:pPr>
              <w:rPr>
                <w:rFonts w:ascii="Calibri" w:hAnsi="Calibri" w:cs="Calibri"/>
              </w:rPr>
            </w:pPr>
          </w:p>
        </w:tc>
      </w:tr>
      <w:tr w:rsidRPr="005450F8" w:rsidR="00F85043" w:rsidTr="00F85043" w14:paraId="5CF4D6DB" w14:textId="77777777">
        <w:tc>
          <w:tcPr>
            <w:tcW w:w="4673" w:type="dxa"/>
          </w:tcPr>
          <w:p w:rsidRPr="001B436F" w:rsidR="00F85043" w:rsidP="005450F8" w:rsidRDefault="001B436F" w14:paraId="09B03443" w14:textId="42A3A128">
            <w:pPr>
              <w:pStyle w:val="NormalWeb"/>
              <w:numPr>
                <w:ilvl w:val="0"/>
                <w:numId w:val="28"/>
              </w:numPr>
              <w:tabs>
                <w:tab w:val="left" w:pos="1420"/>
                <w:tab w:val="left" w:pos="3580"/>
              </w:tabs>
              <w:spacing w:before="0" w:beforeAutospacing="0" w:after="0" w:afterAutospacing="0"/>
              <w:ind w:left="360"/>
              <w:rPr>
                <w:rFonts w:asciiTheme="minorHAnsi" w:hAnsiTheme="minorHAnsi" w:cstheme="minorHAnsi"/>
                <w:sz w:val="22"/>
                <w:szCs w:val="22"/>
              </w:rPr>
            </w:pPr>
            <w:r w:rsidRPr="001B436F">
              <w:rPr>
                <w:rFonts w:asciiTheme="minorHAnsi" w:hAnsiTheme="minorHAnsi" w:cstheme="minorHAnsi"/>
                <w:sz w:val="22"/>
                <w:szCs w:val="22"/>
              </w:rPr>
              <w:t>Leaders’ consistently thoughtful and positive engagement with parents, including those who are harder to reach, ensures that children thrive in all aspects of their development and are exceptionally well prepared at times of transition.</w:t>
            </w:r>
          </w:p>
        </w:tc>
        <w:tc>
          <w:tcPr>
            <w:tcW w:w="6946" w:type="dxa"/>
          </w:tcPr>
          <w:p w:rsidRPr="005450F8" w:rsidR="00F85043" w:rsidP="00F81362" w:rsidRDefault="00F85043" w14:paraId="47D1B167" w14:textId="77777777">
            <w:pPr>
              <w:rPr>
                <w:rFonts w:ascii="Calibri" w:hAnsi="Calibri" w:cs="Calibri"/>
              </w:rPr>
            </w:pPr>
          </w:p>
        </w:tc>
        <w:tc>
          <w:tcPr>
            <w:tcW w:w="3544" w:type="dxa"/>
          </w:tcPr>
          <w:p w:rsidRPr="005450F8" w:rsidR="00F85043" w:rsidP="00F81362" w:rsidRDefault="00F85043" w14:paraId="528F85B2" w14:textId="77777777">
            <w:pPr>
              <w:rPr>
                <w:rFonts w:ascii="Calibri" w:hAnsi="Calibri" w:cs="Calibri"/>
              </w:rPr>
            </w:pPr>
          </w:p>
        </w:tc>
      </w:tr>
    </w:tbl>
    <w:p w:rsidR="00B3325C" w:rsidRDefault="00B3325C" w14:paraId="09EA83EC" w14:textId="77777777">
      <w:pPr>
        <w:rPr>
          <w:rFonts w:ascii="Calibri" w:hAnsi="Calibri" w:cs="Calibri"/>
        </w:rPr>
      </w:pPr>
    </w:p>
    <w:p w:rsidRPr="006C2D23" w:rsidR="007B3BF0" w:rsidRDefault="004C1E42" w14:paraId="5212F99F" w14:textId="0990EED7">
      <w:pPr>
        <w:rPr>
          <w:rFonts w:ascii="Calibri" w:hAnsi="Calibri" w:cs="Calibri"/>
          <w:b/>
          <w:bCs/>
        </w:rPr>
      </w:pPr>
      <w:r w:rsidRPr="004C1E42">
        <w:rPr>
          <w:rFonts w:ascii="Calibri" w:hAnsi="Calibri" w:cs="Calibri"/>
          <w:b/>
          <w:bCs/>
          <w:sz w:val="28"/>
          <w:szCs w:val="28"/>
        </w:rPr>
        <w:t>Further s</w:t>
      </w:r>
      <w:r w:rsidRPr="004C1E42" w:rsidR="007B3BF0">
        <w:rPr>
          <w:rFonts w:ascii="Calibri" w:hAnsi="Calibri" w:cs="Calibri"/>
          <w:b/>
          <w:bCs/>
          <w:sz w:val="28"/>
          <w:szCs w:val="28"/>
        </w:rPr>
        <w:t>elf-</w:t>
      </w:r>
      <w:r w:rsidRPr="004C1E42">
        <w:rPr>
          <w:rFonts w:ascii="Calibri" w:hAnsi="Calibri" w:cs="Calibri"/>
          <w:b/>
          <w:bCs/>
          <w:sz w:val="28"/>
          <w:szCs w:val="28"/>
        </w:rPr>
        <w:t>evaluation areas</w:t>
      </w:r>
      <w:r w:rsidR="00055393">
        <w:rPr>
          <w:rFonts w:ascii="Calibri" w:hAnsi="Calibri" w:cs="Calibri"/>
          <w:b/>
          <w:bCs/>
          <w:sz w:val="28"/>
          <w:szCs w:val="28"/>
        </w:rPr>
        <w:t xml:space="preserve"> </w:t>
      </w:r>
      <w:r w:rsidRPr="006C2D23" w:rsidR="00055393">
        <w:rPr>
          <w:rFonts w:ascii="Calibri" w:hAnsi="Calibri" w:cs="Calibri"/>
        </w:rPr>
        <w:t>(For ease</w:t>
      </w:r>
      <w:r w:rsidRPr="006C2D23" w:rsidR="00B176EC">
        <w:rPr>
          <w:rFonts w:ascii="Calibri" w:hAnsi="Calibri" w:cs="Calibri"/>
        </w:rPr>
        <w:t xml:space="preserve"> and consistency use the same 5 Ofsted grades; </w:t>
      </w:r>
      <w:r w:rsidRPr="006C2D23" w:rsidR="00975AA2">
        <w:rPr>
          <w:rFonts w:ascii="Calibri" w:hAnsi="Calibri" w:cs="Calibri"/>
        </w:rPr>
        <w:t>Urgent Improvement,</w:t>
      </w:r>
      <w:r w:rsidRPr="006C2D23" w:rsidR="00B176EC">
        <w:rPr>
          <w:rFonts w:ascii="Calibri" w:hAnsi="Calibri" w:cs="Calibri"/>
        </w:rPr>
        <w:t xml:space="preserve"> Needs attention,</w:t>
      </w:r>
      <w:r w:rsidRPr="006C2D23" w:rsidR="00975AA2">
        <w:rPr>
          <w:rFonts w:ascii="Calibri" w:hAnsi="Calibri" w:cs="Calibri"/>
        </w:rPr>
        <w:t xml:space="preserve"> Expected Standard, </w:t>
      </w:r>
      <w:r w:rsidRPr="006C2D23" w:rsidR="006C2D23">
        <w:rPr>
          <w:rFonts w:ascii="Calibri" w:hAnsi="Calibri" w:cs="Calibri"/>
        </w:rPr>
        <w:t>Strong standard, Exceptional)</w:t>
      </w:r>
      <w:r w:rsidRPr="006C2D23" w:rsidR="00055393">
        <w:rPr>
          <w:rFonts w:ascii="Calibri" w:hAnsi="Calibri" w:cs="Calibri"/>
          <w:b/>
          <w:bCs/>
        </w:rPr>
        <w:t xml:space="preserve"> </w:t>
      </w:r>
    </w:p>
    <w:tbl>
      <w:tblPr>
        <w:tblStyle w:val="TableGrid"/>
        <w:tblW w:w="0" w:type="auto"/>
        <w:tblLook w:val="04A0" w:firstRow="1" w:lastRow="0" w:firstColumn="1" w:lastColumn="0" w:noHBand="0" w:noVBand="1"/>
      </w:tblPr>
      <w:tblGrid>
        <w:gridCol w:w="11619"/>
        <w:gridCol w:w="3538"/>
      </w:tblGrid>
      <w:tr w:rsidR="009637F7" w:rsidTr="00FC5AFE" w14:paraId="387C9453" w14:textId="77777777">
        <w:tc>
          <w:tcPr>
            <w:tcW w:w="15157" w:type="dxa"/>
            <w:gridSpan w:val="2"/>
            <w:shd w:val="clear" w:color="auto" w:fill="9CC2E5" w:themeFill="accent5" w:themeFillTint="99"/>
          </w:tcPr>
          <w:p w:rsidRPr="00DC3EA1" w:rsidR="009637F7" w:rsidP="00EF7B90" w:rsidRDefault="009637F7" w14:paraId="7FB0B0D3" w14:textId="2917B889">
            <w:pPr>
              <w:rPr>
                <w:rFonts w:ascii="Calibri" w:hAnsi="Calibri" w:cs="Calibri"/>
                <w:b/>
                <w:bCs/>
              </w:rPr>
            </w:pPr>
            <w:r w:rsidRPr="00EF7B90">
              <w:rPr>
                <w:rFonts w:ascii="Calibri" w:hAnsi="Calibri" w:cs="Calibri"/>
                <w:b/>
                <w:bCs/>
              </w:rPr>
              <w:t>Finance and sustainability</w:t>
            </w:r>
            <w:r>
              <w:rPr>
                <w:rFonts w:ascii="Calibri" w:hAnsi="Calibri" w:cs="Calibri"/>
                <w:b/>
                <w:bCs/>
              </w:rPr>
              <w:t xml:space="preserve">                </w:t>
            </w:r>
            <w:r>
              <w:rPr>
                <w:rFonts w:ascii="Calibri" w:hAnsi="Calibri" w:cs="Calibri"/>
              </w:rPr>
              <w:t>Our self-assessment =</w:t>
            </w:r>
          </w:p>
        </w:tc>
      </w:tr>
      <w:tr w:rsidR="00E12071" w:rsidTr="009637F7" w14:paraId="742DB005" w14:textId="77777777">
        <w:tc>
          <w:tcPr>
            <w:tcW w:w="11619" w:type="dxa"/>
            <w:shd w:val="clear" w:color="auto" w:fill="DEEAF6" w:themeFill="accent5" w:themeFillTint="33"/>
          </w:tcPr>
          <w:p w:rsidR="00E12071" w:rsidRDefault="00E12071" w14:paraId="4AF2E87E" w14:textId="0BF481A5">
            <w:pPr>
              <w:rPr>
                <w:rFonts w:ascii="Calibri" w:hAnsi="Calibri" w:cs="Calibri"/>
                <w:b/>
                <w:bCs/>
                <w:sz w:val="28"/>
                <w:szCs w:val="28"/>
              </w:rPr>
            </w:pPr>
            <w:r w:rsidRPr="00DC3EA1">
              <w:rPr>
                <w:rFonts w:ascii="Calibri" w:hAnsi="Calibri" w:cs="Calibri"/>
                <w:b/>
                <w:bCs/>
              </w:rPr>
              <w:t>Strengths and evidence</w:t>
            </w:r>
          </w:p>
        </w:tc>
        <w:tc>
          <w:tcPr>
            <w:tcW w:w="3538" w:type="dxa"/>
            <w:shd w:val="clear" w:color="auto" w:fill="DEEAF6" w:themeFill="accent5" w:themeFillTint="33"/>
          </w:tcPr>
          <w:p w:rsidRPr="000760D1" w:rsidR="00E12071" w:rsidP="00EF7B90" w:rsidRDefault="00E12071" w14:paraId="63CE15F8" w14:textId="0B5DB5D7">
            <w:pPr>
              <w:rPr>
                <w:rFonts w:ascii="Calibri" w:hAnsi="Calibri" w:cs="Calibri"/>
                <w:b/>
                <w:bCs/>
              </w:rPr>
            </w:pPr>
            <w:r w:rsidRPr="00DC3EA1">
              <w:rPr>
                <w:rFonts w:ascii="Calibri" w:hAnsi="Calibri" w:cs="Calibri"/>
                <w:b/>
                <w:bCs/>
              </w:rPr>
              <w:t>Areas for development</w:t>
            </w:r>
          </w:p>
        </w:tc>
      </w:tr>
      <w:tr w:rsidR="00E12071" w:rsidTr="00FC5AFE" w14:paraId="05DD7537" w14:textId="77777777">
        <w:trPr>
          <w:trHeight w:val="2101"/>
        </w:trPr>
        <w:tc>
          <w:tcPr>
            <w:tcW w:w="11619" w:type="dxa"/>
          </w:tcPr>
          <w:p w:rsidR="00E12071" w:rsidRDefault="00E12071" w14:paraId="3A75B77F" w14:textId="77777777">
            <w:pPr>
              <w:rPr>
                <w:rFonts w:ascii="Calibri" w:hAnsi="Calibri" w:cs="Calibri"/>
                <w:b/>
                <w:bCs/>
                <w:sz w:val="28"/>
                <w:szCs w:val="28"/>
              </w:rPr>
            </w:pPr>
          </w:p>
        </w:tc>
        <w:tc>
          <w:tcPr>
            <w:tcW w:w="3538" w:type="dxa"/>
          </w:tcPr>
          <w:p w:rsidR="00E12071" w:rsidRDefault="00E12071" w14:paraId="510D4A05" w14:textId="77777777">
            <w:pPr>
              <w:rPr>
                <w:rFonts w:ascii="Calibri" w:hAnsi="Calibri" w:cs="Calibri"/>
                <w:b/>
                <w:bCs/>
                <w:sz w:val="28"/>
                <w:szCs w:val="28"/>
              </w:rPr>
            </w:pPr>
          </w:p>
        </w:tc>
      </w:tr>
      <w:tr w:rsidR="009637F7" w:rsidTr="00FC5AFE" w14:paraId="3699FDAF" w14:textId="77777777">
        <w:tc>
          <w:tcPr>
            <w:tcW w:w="15157" w:type="dxa"/>
            <w:gridSpan w:val="2"/>
            <w:shd w:val="clear" w:color="auto" w:fill="9CC2E5" w:themeFill="accent5" w:themeFillTint="99"/>
          </w:tcPr>
          <w:p w:rsidRPr="009637F7" w:rsidR="009637F7" w:rsidP="00060050" w:rsidRDefault="009637F7" w14:paraId="7F7E97FF" w14:textId="54305EFD">
            <w:pPr>
              <w:rPr>
                <w:rFonts w:ascii="Calibri" w:hAnsi="Calibri" w:cs="Calibri"/>
              </w:rPr>
            </w:pPr>
            <w:r w:rsidRPr="00060050">
              <w:rPr>
                <w:rFonts w:ascii="Calibri" w:hAnsi="Calibri" w:cs="Calibri"/>
                <w:b/>
                <w:bCs/>
              </w:rPr>
              <w:t>Staffing</w:t>
            </w:r>
            <w:r>
              <w:rPr>
                <w:rFonts w:ascii="Calibri" w:hAnsi="Calibri" w:cs="Calibri"/>
              </w:rPr>
              <w:t xml:space="preserve"> (Health &amp; well-being, supervision, appraisal, capacity, recruitment &amp; retention)           Our self-assessment =</w:t>
            </w:r>
          </w:p>
        </w:tc>
      </w:tr>
      <w:tr w:rsidR="002E4AFE" w:rsidTr="009637F7" w14:paraId="11DEE436" w14:textId="77777777">
        <w:tc>
          <w:tcPr>
            <w:tcW w:w="11619" w:type="dxa"/>
            <w:shd w:val="clear" w:color="auto" w:fill="DEEAF6" w:themeFill="accent5" w:themeFillTint="33"/>
          </w:tcPr>
          <w:p w:rsidR="002E4AFE" w:rsidP="00060050" w:rsidRDefault="002E4AFE" w14:paraId="616B1543" w14:textId="530EF289">
            <w:pPr>
              <w:rPr>
                <w:rFonts w:ascii="Calibri" w:hAnsi="Calibri" w:cs="Calibri"/>
                <w:b/>
                <w:bCs/>
                <w:sz w:val="28"/>
                <w:szCs w:val="28"/>
              </w:rPr>
            </w:pPr>
            <w:r w:rsidRPr="00DC3EA1">
              <w:rPr>
                <w:rFonts w:ascii="Calibri" w:hAnsi="Calibri" w:cs="Calibri"/>
                <w:b/>
                <w:bCs/>
              </w:rPr>
              <w:t>Strengths and evidence</w:t>
            </w:r>
          </w:p>
        </w:tc>
        <w:tc>
          <w:tcPr>
            <w:tcW w:w="3538" w:type="dxa"/>
            <w:shd w:val="clear" w:color="auto" w:fill="DEEAF6" w:themeFill="accent5" w:themeFillTint="33"/>
          </w:tcPr>
          <w:p w:rsidR="002E4AFE" w:rsidP="00C53EFC" w:rsidRDefault="002E4AFE" w14:paraId="641B998F" w14:textId="38AEC9AA">
            <w:pPr>
              <w:rPr>
                <w:rFonts w:ascii="Calibri" w:hAnsi="Calibri" w:cs="Calibri"/>
                <w:b/>
                <w:bCs/>
                <w:sz w:val="28"/>
                <w:szCs w:val="28"/>
              </w:rPr>
            </w:pPr>
            <w:r w:rsidRPr="00DC3EA1">
              <w:rPr>
                <w:rFonts w:ascii="Calibri" w:hAnsi="Calibri" w:cs="Calibri"/>
                <w:b/>
                <w:bCs/>
              </w:rPr>
              <w:t>Areas for development</w:t>
            </w:r>
          </w:p>
        </w:tc>
      </w:tr>
      <w:tr w:rsidR="002E4AFE" w:rsidTr="00FC5AFE" w14:paraId="608F1F24" w14:textId="77777777">
        <w:trPr>
          <w:trHeight w:val="2101"/>
        </w:trPr>
        <w:tc>
          <w:tcPr>
            <w:tcW w:w="11619" w:type="dxa"/>
          </w:tcPr>
          <w:p w:rsidR="002E4AFE" w:rsidP="00060050" w:rsidRDefault="002E4AFE" w14:paraId="38C1FCA7" w14:textId="77777777">
            <w:pPr>
              <w:rPr>
                <w:rFonts w:ascii="Calibri" w:hAnsi="Calibri" w:cs="Calibri"/>
                <w:b/>
                <w:bCs/>
                <w:sz w:val="28"/>
                <w:szCs w:val="28"/>
              </w:rPr>
            </w:pPr>
          </w:p>
        </w:tc>
        <w:tc>
          <w:tcPr>
            <w:tcW w:w="3538" w:type="dxa"/>
          </w:tcPr>
          <w:p w:rsidR="002E4AFE" w:rsidP="00060050" w:rsidRDefault="002E4AFE" w14:paraId="05065FA0" w14:textId="77777777">
            <w:pPr>
              <w:rPr>
                <w:rFonts w:ascii="Calibri" w:hAnsi="Calibri" w:cs="Calibri"/>
                <w:b/>
                <w:bCs/>
                <w:sz w:val="28"/>
                <w:szCs w:val="28"/>
              </w:rPr>
            </w:pPr>
          </w:p>
        </w:tc>
      </w:tr>
    </w:tbl>
    <w:p w:rsidRPr="004C1E42" w:rsidR="004C1E42" w:rsidRDefault="004C1E42" w14:paraId="2081EAFF" w14:textId="77777777">
      <w:pPr>
        <w:rPr>
          <w:rFonts w:ascii="Calibri" w:hAnsi="Calibri" w:cs="Calibri"/>
          <w:b/>
          <w:bCs/>
          <w:sz w:val="28"/>
          <w:szCs w:val="28"/>
        </w:rPr>
      </w:pPr>
    </w:p>
    <w:sectPr w:rsidRPr="004C1E42" w:rsidR="004C1E42" w:rsidSect="00A67654">
      <w:footerReference w:type="even" r:id="rId13"/>
      <w:footerReference w:type="default" r:id="rId14"/>
      <w:footerReference w:type="first" r:id="rId15"/>
      <w:pgSz w:w="16838" w:h="11906" w:orient="landscape"/>
      <w:pgMar w:top="851" w:right="820"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3F2" w:rsidP="00AC7CCC" w:rsidRDefault="009843F2" w14:paraId="43218A54" w14:textId="77777777">
      <w:pPr>
        <w:spacing w:after="0" w:line="240" w:lineRule="auto"/>
      </w:pPr>
      <w:r>
        <w:separator/>
      </w:r>
    </w:p>
  </w:endnote>
  <w:endnote w:type="continuationSeparator" w:id="0">
    <w:p w:rsidR="009843F2" w:rsidP="00AC7CCC" w:rsidRDefault="009843F2" w14:paraId="2771C7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0AB7" w:rsidRDefault="00B40AB7" w14:paraId="7D48FD32" w14:textId="0868D2F7">
    <w:pPr>
      <w:pStyle w:val="Footer"/>
    </w:pPr>
    <w:r>
      <w:rPr>
        <w:noProof/>
      </w:rPr>
      <mc:AlternateContent>
        <mc:Choice Requires="wps">
          <w:drawing>
            <wp:anchor distT="0" distB="0" distL="0" distR="0" simplePos="0" relativeHeight="251658241" behindDoc="0" locked="0" layoutInCell="1" allowOverlap="1" wp14:anchorId="3871FA9D" wp14:editId="5B5F5FE7">
              <wp:simplePos x="635" y="635"/>
              <wp:positionH relativeFrom="page">
                <wp:align>left</wp:align>
              </wp:positionH>
              <wp:positionV relativeFrom="page">
                <wp:align>bottom</wp:align>
              </wp:positionV>
              <wp:extent cx="713740" cy="357505"/>
              <wp:effectExtent l="0" t="0" r="10160" b="0"/>
              <wp:wrapNone/>
              <wp:docPr id="130644678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rsidRPr="00B40AB7" w:rsidR="00B40AB7" w:rsidP="00B40AB7" w:rsidRDefault="00B40AB7" w14:paraId="59CC17CA" w14:textId="05B99580">
                          <w:pPr>
                            <w:spacing w:after="0"/>
                            <w:rPr>
                              <w:rFonts w:ascii="Calibri" w:hAnsi="Calibri" w:eastAsia="Calibri" w:cs="Calibri"/>
                              <w:noProof/>
                              <w:color w:val="000000"/>
                              <w:sz w:val="20"/>
                              <w:szCs w:val="20"/>
                            </w:rPr>
                          </w:pPr>
                          <w:r w:rsidRPr="00B40AB7">
                            <w:rPr>
                              <w:rFonts w:ascii="Calibri" w:hAnsi="Calibri" w:eastAsia="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id="_x0000_t202" coordsize="21600,21600" o:spt="202" path="m,l,21600r21600,l21600,xe" w14:anchorId="3871FA9D">
              <v:stroke joinstyle="miter"/>
              <v:path gradientshapeok="t" o:connecttype="rect"/>
            </v:shapetype>
            <v:shape id="Text Box 2" style="position:absolute;margin-left:0;margin-top:0;width:56.2pt;height:28.15pt;z-index:251658241;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v:textbox style="mso-fit-shape-to-text:t" inset="20pt,0,0,15pt">
                <w:txbxContent>
                  <w:p w:rsidRPr="00B40AB7" w:rsidR="00B40AB7" w:rsidP="00B40AB7" w:rsidRDefault="00B40AB7" w14:paraId="59CC17CA" w14:textId="05B99580">
                    <w:pPr>
                      <w:spacing w:after="0"/>
                      <w:rPr>
                        <w:rFonts w:ascii="Calibri" w:hAnsi="Calibri" w:eastAsia="Calibri" w:cs="Calibri"/>
                        <w:noProof/>
                        <w:color w:val="000000"/>
                        <w:sz w:val="20"/>
                        <w:szCs w:val="20"/>
                      </w:rPr>
                    </w:pPr>
                    <w:r w:rsidRPr="00B40AB7">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0AB7" w:rsidRDefault="00B40AB7" w14:paraId="005852E6" w14:textId="1304C8E3">
    <w:pPr>
      <w:pStyle w:val="Footer"/>
    </w:pPr>
    <w:r>
      <w:rPr>
        <w:noProof/>
      </w:rPr>
      <mc:AlternateContent>
        <mc:Choice Requires="wps">
          <w:drawing>
            <wp:anchor distT="0" distB="0" distL="0" distR="0" simplePos="0" relativeHeight="251658242" behindDoc="0" locked="0" layoutInCell="1" allowOverlap="1" wp14:anchorId="399B6EED" wp14:editId="57A4F0E9">
              <wp:simplePos x="635" y="635"/>
              <wp:positionH relativeFrom="page">
                <wp:align>left</wp:align>
              </wp:positionH>
              <wp:positionV relativeFrom="page">
                <wp:align>bottom</wp:align>
              </wp:positionV>
              <wp:extent cx="713740" cy="357505"/>
              <wp:effectExtent l="0" t="0" r="10160" b="0"/>
              <wp:wrapNone/>
              <wp:docPr id="187039985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rsidRPr="00B40AB7" w:rsidR="00B40AB7" w:rsidP="00B40AB7" w:rsidRDefault="00B40AB7" w14:paraId="4C6C0BDC" w14:textId="680FDB40">
                          <w:pPr>
                            <w:spacing w:after="0"/>
                            <w:rPr>
                              <w:rFonts w:ascii="Calibri" w:hAnsi="Calibri" w:eastAsia="Calibri" w:cs="Calibri"/>
                              <w:noProof/>
                              <w:color w:val="000000"/>
                              <w:sz w:val="20"/>
                              <w:szCs w:val="20"/>
                            </w:rPr>
                          </w:pPr>
                          <w:r w:rsidRPr="00B40AB7">
                            <w:rPr>
                              <w:rFonts w:ascii="Calibri" w:hAnsi="Calibri" w:eastAsia="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id="_x0000_t202" coordsize="21600,21600" o:spt="202" path="m,l,21600r21600,l21600,xe" w14:anchorId="399B6EED">
              <v:stroke joinstyle="miter"/>
              <v:path gradientshapeok="t" o:connecttype="rect"/>
            </v:shapetype>
            <v:shape id="Text Box 3" style="position:absolute;margin-left:0;margin-top:0;width:56.2pt;height:28.15pt;z-index:251658242;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v:textbox style="mso-fit-shape-to-text:t" inset="20pt,0,0,15pt">
                <w:txbxContent>
                  <w:p w:rsidRPr="00B40AB7" w:rsidR="00B40AB7" w:rsidP="00B40AB7" w:rsidRDefault="00B40AB7" w14:paraId="4C6C0BDC" w14:textId="680FDB40">
                    <w:pPr>
                      <w:spacing w:after="0"/>
                      <w:rPr>
                        <w:rFonts w:ascii="Calibri" w:hAnsi="Calibri" w:eastAsia="Calibri" w:cs="Calibri"/>
                        <w:noProof/>
                        <w:color w:val="000000"/>
                        <w:sz w:val="20"/>
                        <w:szCs w:val="20"/>
                      </w:rPr>
                    </w:pPr>
                    <w:r w:rsidRPr="00B40AB7">
                      <w:rPr>
                        <w:rFonts w:ascii="Calibri" w:hAnsi="Calibri"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40AB7" w:rsidRDefault="00B40AB7" w14:paraId="2F4A41D2" w14:textId="43984CEB">
    <w:pPr>
      <w:pStyle w:val="Footer"/>
    </w:pPr>
    <w:r>
      <w:rPr>
        <w:noProof/>
      </w:rPr>
      <mc:AlternateContent>
        <mc:Choice Requires="wps">
          <w:drawing>
            <wp:anchor distT="0" distB="0" distL="0" distR="0" simplePos="0" relativeHeight="251658240" behindDoc="0" locked="0" layoutInCell="1" allowOverlap="1" wp14:anchorId="44CBBDC5" wp14:editId="32FB6E58">
              <wp:simplePos x="635" y="635"/>
              <wp:positionH relativeFrom="page">
                <wp:align>left</wp:align>
              </wp:positionH>
              <wp:positionV relativeFrom="page">
                <wp:align>bottom</wp:align>
              </wp:positionV>
              <wp:extent cx="713740" cy="357505"/>
              <wp:effectExtent l="0" t="0" r="10160" b="0"/>
              <wp:wrapNone/>
              <wp:docPr id="81336957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rsidRPr="00B40AB7" w:rsidR="00B40AB7" w:rsidP="00B40AB7" w:rsidRDefault="00B40AB7" w14:paraId="71DD0A77" w14:textId="47E75E55">
                          <w:pPr>
                            <w:spacing w:after="0"/>
                            <w:rPr>
                              <w:rFonts w:ascii="Calibri" w:hAnsi="Calibri" w:eastAsia="Calibri" w:cs="Calibri"/>
                              <w:noProof/>
                              <w:color w:val="000000"/>
                              <w:sz w:val="20"/>
                              <w:szCs w:val="20"/>
                            </w:rPr>
                          </w:pPr>
                          <w:r w:rsidRPr="00B40AB7">
                            <w:rPr>
                              <w:rFonts w:ascii="Calibri" w:hAnsi="Calibri" w:eastAsia="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id="_x0000_t202" coordsize="21600,21600" o:spt="202" path="m,l,21600r21600,l21600,xe" w14:anchorId="44CBBDC5">
              <v:stroke joinstyle="miter"/>
              <v:path gradientshapeok="t" o:connecttype="rect"/>
            </v:shapetype>
            <v:shape id="Text Box 1"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v:textbox style="mso-fit-shape-to-text:t" inset="20pt,0,0,15pt">
                <w:txbxContent>
                  <w:p w:rsidRPr="00B40AB7" w:rsidR="00B40AB7" w:rsidP="00B40AB7" w:rsidRDefault="00B40AB7" w14:paraId="71DD0A77" w14:textId="47E75E55">
                    <w:pPr>
                      <w:spacing w:after="0"/>
                      <w:rPr>
                        <w:rFonts w:ascii="Calibri" w:hAnsi="Calibri" w:eastAsia="Calibri" w:cs="Calibri"/>
                        <w:noProof/>
                        <w:color w:val="000000"/>
                        <w:sz w:val="20"/>
                        <w:szCs w:val="20"/>
                      </w:rPr>
                    </w:pPr>
                    <w:r w:rsidRPr="00B40AB7">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3F2" w:rsidP="00AC7CCC" w:rsidRDefault="009843F2" w14:paraId="5CC5A02F" w14:textId="77777777">
      <w:pPr>
        <w:spacing w:after="0" w:line="240" w:lineRule="auto"/>
      </w:pPr>
      <w:r>
        <w:separator/>
      </w:r>
    </w:p>
  </w:footnote>
  <w:footnote w:type="continuationSeparator" w:id="0">
    <w:p w:rsidR="009843F2" w:rsidP="00AC7CCC" w:rsidRDefault="009843F2" w14:paraId="076EE9F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0E6"/>
    <w:multiLevelType w:val="hybridMultilevel"/>
    <w:tmpl w:val="009840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6AD4806"/>
    <w:multiLevelType w:val="hybridMultilevel"/>
    <w:tmpl w:val="C532ACE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9CF712F"/>
    <w:multiLevelType w:val="hybridMultilevel"/>
    <w:tmpl w:val="E4A8AA10"/>
    <w:lvl w:ilvl="0" w:tplc="EE4EC2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B3A7B"/>
    <w:multiLevelType w:val="hybridMultilevel"/>
    <w:tmpl w:val="873A6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82B7D"/>
    <w:multiLevelType w:val="hybridMultilevel"/>
    <w:tmpl w:val="FC981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08512A"/>
    <w:multiLevelType w:val="multilevel"/>
    <w:tmpl w:val="DF3C8AE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2A3CF9"/>
    <w:multiLevelType w:val="hybridMultilevel"/>
    <w:tmpl w:val="BED8D7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D537B04"/>
    <w:multiLevelType w:val="hybridMultilevel"/>
    <w:tmpl w:val="991C43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A63570"/>
    <w:multiLevelType w:val="hybridMultilevel"/>
    <w:tmpl w:val="71B48F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881B9C"/>
    <w:multiLevelType w:val="hybridMultilevel"/>
    <w:tmpl w:val="D854A6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57239D"/>
    <w:multiLevelType w:val="multilevel"/>
    <w:tmpl w:val="DF3C8AE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96401ED"/>
    <w:multiLevelType w:val="multilevel"/>
    <w:tmpl w:val="13E49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D023152"/>
    <w:multiLevelType w:val="hybridMultilevel"/>
    <w:tmpl w:val="F15CD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645028"/>
    <w:multiLevelType w:val="hybridMultilevel"/>
    <w:tmpl w:val="082E0CA4"/>
    <w:lvl w:ilvl="0" w:tplc="3D6CB6B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407F0E48"/>
    <w:multiLevelType w:val="multilevel"/>
    <w:tmpl w:val="35CC3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A672016"/>
    <w:multiLevelType w:val="hybridMultilevel"/>
    <w:tmpl w:val="5D086E36"/>
    <w:lvl w:ilvl="0" w:tplc="EE4EC2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7E0B34"/>
    <w:multiLevelType w:val="hybridMultilevel"/>
    <w:tmpl w:val="0E680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F617D1"/>
    <w:multiLevelType w:val="multilevel"/>
    <w:tmpl w:val="E21C0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77B4DC8"/>
    <w:multiLevelType w:val="hybridMultilevel"/>
    <w:tmpl w:val="8DB25466"/>
    <w:lvl w:ilvl="0" w:tplc="EE4EC2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1019E4"/>
    <w:multiLevelType w:val="hybridMultilevel"/>
    <w:tmpl w:val="CB6EE6DA"/>
    <w:lvl w:ilvl="0" w:tplc="FAC02F3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B67928"/>
    <w:multiLevelType w:val="hybridMultilevel"/>
    <w:tmpl w:val="34AAB7CA"/>
    <w:lvl w:ilvl="0" w:tplc="41A26270">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597F2704"/>
    <w:multiLevelType w:val="hybridMultilevel"/>
    <w:tmpl w:val="EFF2C264"/>
    <w:lvl w:ilvl="0" w:tplc="EE4EC2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2B0C84"/>
    <w:multiLevelType w:val="multilevel"/>
    <w:tmpl w:val="DF3C8AE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1FC5596"/>
    <w:multiLevelType w:val="hybridMultilevel"/>
    <w:tmpl w:val="50C85932"/>
    <w:lvl w:ilvl="0" w:tplc="EE4EC27C">
      <w:start w:val="1"/>
      <w:numFmt w:val="decimal"/>
      <w:lvlText w:val="%1."/>
      <w:lvlJc w:val="left"/>
      <w:pPr>
        <w:ind w:left="4897" w:hanging="360"/>
      </w:pPr>
      <w:rPr>
        <w:rFonts w:hint="default"/>
        <w:b w:val="0"/>
        <w:bCs w:val="0"/>
      </w:rPr>
    </w:lvl>
    <w:lvl w:ilvl="1" w:tplc="08090019" w:tentative="1">
      <w:start w:val="1"/>
      <w:numFmt w:val="lowerLetter"/>
      <w:lvlText w:val="%2."/>
      <w:lvlJc w:val="left"/>
      <w:pPr>
        <w:ind w:left="5617" w:hanging="360"/>
      </w:pPr>
    </w:lvl>
    <w:lvl w:ilvl="2" w:tplc="0809001B" w:tentative="1">
      <w:start w:val="1"/>
      <w:numFmt w:val="lowerRoman"/>
      <w:lvlText w:val="%3."/>
      <w:lvlJc w:val="right"/>
      <w:pPr>
        <w:ind w:left="6337" w:hanging="180"/>
      </w:pPr>
    </w:lvl>
    <w:lvl w:ilvl="3" w:tplc="0809000F" w:tentative="1">
      <w:start w:val="1"/>
      <w:numFmt w:val="decimal"/>
      <w:lvlText w:val="%4."/>
      <w:lvlJc w:val="left"/>
      <w:pPr>
        <w:ind w:left="7057" w:hanging="360"/>
      </w:pPr>
    </w:lvl>
    <w:lvl w:ilvl="4" w:tplc="08090019" w:tentative="1">
      <w:start w:val="1"/>
      <w:numFmt w:val="lowerLetter"/>
      <w:lvlText w:val="%5."/>
      <w:lvlJc w:val="left"/>
      <w:pPr>
        <w:ind w:left="7777" w:hanging="360"/>
      </w:pPr>
    </w:lvl>
    <w:lvl w:ilvl="5" w:tplc="0809001B" w:tentative="1">
      <w:start w:val="1"/>
      <w:numFmt w:val="lowerRoman"/>
      <w:lvlText w:val="%6."/>
      <w:lvlJc w:val="right"/>
      <w:pPr>
        <w:ind w:left="8497" w:hanging="180"/>
      </w:pPr>
    </w:lvl>
    <w:lvl w:ilvl="6" w:tplc="0809000F" w:tentative="1">
      <w:start w:val="1"/>
      <w:numFmt w:val="decimal"/>
      <w:lvlText w:val="%7."/>
      <w:lvlJc w:val="left"/>
      <w:pPr>
        <w:ind w:left="9217" w:hanging="360"/>
      </w:pPr>
    </w:lvl>
    <w:lvl w:ilvl="7" w:tplc="08090019" w:tentative="1">
      <w:start w:val="1"/>
      <w:numFmt w:val="lowerLetter"/>
      <w:lvlText w:val="%8."/>
      <w:lvlJc w:val="left"/>
      <w:pPr>
        <w:ind w:left="9937" w:hanging="360"/>
      </w:pPr>
    </w:lvl>
    <w:lvl w:ilvl="8" w:tplc="0809001B" w:tentative="1">
      <w:start w:val="1"/>
      <w:numFmt w:val="lowerRoman"/>
      <w:lvlText w:val="%9."/>
      <w:lvlJc w:val="right"/>
      <w:pPr>
        <w:ind w:left="10657" w:hanging="180"/>
      </w:pPr>
    </w:lvl>
  </w:abstractNum>
  <w:abstractNum w:abstractNumId="24" w15:restartNumberingAfterBreak="0">
    <w:nsid w:val="6AF74EFD"/>
    <w:multiLevelType w:val="hybridMultilevel"/>
    <w:tmpl w:val="40C2C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1BF70A1"/>
    <w:multiLevelType w:val="hybridMultilevel"/>
    <w:tmpl w:val="49187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4A64FD7"/>
    <w:multiLevelType w:val="hybridMultilevel"/>
    <w:tmpl w:val="310017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772C3231"/>
    <w:multiLevelType w:val="hybridMultilevel"/>
    <w:tmpl w:val="7EE8F654"/>
    <w:lvl w:ilvl="0" w:tplc="781E7CB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7F7B5FE7"/>
    <w:multiLevelType w:val="multilevel"/>
    <w:tmpl w:val="B34C0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38805827">
    <w:abstractNumId w:val="10"/>
  </w:num>
  <w:num w:numId="2" w16cid:durableId="447086730">
    <w:abstractNumId w:val="17"/>
  </w:num>
  <w:num w:numId="3" w16cid:durableId="1665160733">
    <w:abstractNumId w:val="14"/>
  </w:num>
  <w:num w:numId="4" w16cid:durableId="13576794">
    <w:abstractNumId w:val="5"/>
  </w:num>
  <w:num w:numId="5" w16cid:durableId="2106805309">
    <w:abstractNumId w:val="11"/>
  </w:num>
  <w:num w:numId="6" w16cid:durableId="2131000725">
    <w:abstractNumId w:val="28"/>
  </w:num>
  <w:num w:numId="7" w16cid:durableId="707997365">
    <w:abstractNumId w:val="4"/>
  </w:num>
  <w:num w:numId="8" w16cid:durableId="1453206701">
    <w:abstractNumId w:val="8"/>
  </w:num>
  <w:num w:numId="9" w16cid:durableId="389622545">
    <w:abstractNumId w:val="24"/>
  </w:num>
  <w:num w:numId="10" w16cid:durableId="1006059775">
    <w:abstractNumId w:val="7"/>
  </w:num>
  <w:num w:numId="11" w16cid:durableId="1758987542">
    <w:abstractNumId w:val="12"/>
  </w:num>
  <w:num w:numId="12" w16cid:durableId="121847853">
    <w:abstractNumId w:val="16"/>
  </w:num>
  <w:num w:numId="13" w16cid:durableId="1028411654">
    <w:abstractNumId w:val="26"/>
  </w:num>
  <w:num w:numId="14" w16cid:durableId="1447850469">
    <w:abstractNumId w:val="13"/>
  </w:num>
  <w:num w:numId="15" w16cid:durableId="942104822">
    <w:abstractNumId w:val="20"/>
  </w:num>
  <w:num w:numId="16" w16cid:durableId="1165171436">
    <w:abstractNumId w:val="0"/>
  </w:num>
  <w:num w:numId="17" w16cid:durableId="1958174768">
    <w:abstractNumId w:val="19"/>
  </w:num>
  <w:num w:numId="18" w16cid:durableId="918978077">
    <w:abstractNumId w:val="27"/>
  </w:num>
  <w:num w:numId="19" w16cid:durableId="1487015685">
    <w:abstractNumId w:val="22"/>
  </w:num>
  <w:num w:numId="20" w16cid:durableId="813987623">
    <w:abstractNumId w:val="25"/>
  </w:num>
  <w:num w:numId="21" w16cid:durableId="653602718">
    <w:abstractNumId w:val="1"/>
  </w:num>
  <w:num w:numId="22" w16cid:durableId="1214973436">
    <w:abstractNumId w:val="3"/>
  </w:num>
  <w:num w:numId="23" w16cid:durableId="553933248">
    <w:abstractNumId w:val="2"/>
  </w:num>
  <w:num w:numId="24" w16cid:durableId="1175344288">
    <w:abstractNumId w:val="18"/>
  </w:num>
  <w:num w:numId="25" w16cid:durableId="606502098">
    <w:abstractNumId w:val="21"/>
  </w:num>
  <w:num w:numId="26" w16cid:durableId="1889563617">
    <w:abstractNumId w:val="15"/>
  </w:num>
  <w:num w:numId="27" w16cid:durableId="569655068">
    <w:abstractNumId w:val="23"/>
  </w:num>
  <w:num w:numId="28" w16cid:durableId="1414932653">
    <w:abstractNumId w:val="9"/>
  </w:num>
  <w:num w:numId="29" w16cid:durableId="1990747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5C"/>
    <w:rsid w:val="00006D46"/>
    <w:rsid w:val="00025CC7"/>
    <w:rsid w:val="00027796"/>
    <w:rsid w:val="00045C28"/>
    <w:rsid w:val="000514ED"/>
    <w:rsid w:val="00055393"/>
    <w:rsid w:val="00060050"/>
    <w:rsid w:val="00066AAB"/>
    <w:rsid w:val="000670DF"/>
    <w:rsid w:val="000760D1"/>
    <w:rsid w:val="0008124D"/>
    <w:rsid w:val="000B0F8A"/>
    <w:rsid w:val="000B2912"/>
    <w:rsid w:val="000E690D"/>
    <w:rsid w:val="00113761"/>
    <w:rsid w:val="001333A8"/>
    <w:rsid w:val="001339F7"/>
    <w:rsid w:val="00136A7F"/>
    <w:rsid w:val="00147BF3"/>
    <w:rsid w:val="001629B1"/>
    <w:rsid w:val="00170760"/>
    <w:rsid w:val="00174A9F"/>
    <w:rsid w:val="00175A88"/>
    <w:rsid w:val="0018236B"/>
    <w:rsid w:val="001907CB"/>
    <w:rsid w:val="001A1A47"/>
    <w:rsid w:val="001B0C90"/>
    <w:rsid w:val="001B436F"/>
    <w:rsid w:val="001C6131"/>
    <w:rsid w:val="001D5CC7"/>
    <w:rsid w:val="001E60D3"/>
    <w:rsid w:val="002133C1"/>
    <w:rsid w:val="0023520A"/>
    <w:rsid w:val="00254023"/>
    <w:rsid w:val="00260F7C"/>
    <w:rsid w:val="00262774"/>
    <w:rsid w:val="0026452E"/>
    <w:rsid w:val="00284116"/>
    <w:rsid w:val="002A2394"/>
    <w:rsid w:val="002A346F"/>
    <w:rsid w:val="002B5BDD"/>
    <w:rsid w:val="002D1A82"/>
    <w:rsid w:val="002E4AFE"/>
    <w:rsid w:val="002E7350"/>
    <w:rsid w:val="002E79C8"/>
    <w:rsid w:val="002F5506"/>
    <w:rsid w:val="0030461B"/>
    <w:rsid w:val="00304666"/>
    <w:rsid w:val="00306B0A"/>
    <w:rsid w:val="003370A7"/>
    <w:rsid w:val="00343CAE"/>
    <w:rsid w:val="003743AA"/>
    <w:rsid w:val="003760EC"/>
    <w:rsid w:val="0038157C"/>
    <w:rsid w:val="0039474C"/>
    <w:rsid w:val="00396264"/>
    <w:rsid w:val="003B3F0E"/>
    <w:rsid w:val="003C5C33"/>
    <w:rsid w:val="003E1A9A"/>
    <w:rsid w:val="004071E1"/>
    <w:rsid w:val="0041284C"/>
    <w:rsid w:val="004165B8"/>
    <w:rsid w:val="0042369D"/>
    <w:rsid w:val="00426281"/>
    <w:rsid w:val="004317CC"/>
    <w:rsid w:val="004368A1"/>
    <w:rsid w:val="00452A3D"/>
    <w:rsid w:val="00453C7D"/>
    <w:rsid w:val="00466E23"/>
    <w:rsid w:val="00477205"/>
    <w:rsid w:val="00480C3F"/>
    <w:rsid w:val="00485136"/>
    <w:rsid w:val="004913A9"/>
    <w:rsid w:val="00497EC8"/>
    <w:rsid w:val="004C1E42"/>
    <w:rsid w:val="004C29CC"/>
    <w:rsid w:val="004C2B29"/>
    <w:rsid w:val="004C2BBA"/>
    <w:rsid w:val="004C5746"/>
    <w:rsid w:val="004D0F2D"/>
    <w:rsid w:val="004D7938"/>
    <w:rsid w:val="004E00CA"/>
    <w:rsid w:val="004E04CB"/>
    <w:rsid w:val="004F142B"/>
    <w:rsid w:val="004F2A8B"/>
    <w:rsid w:val="004F6AAF"/>
    <w:rsid w:val="00500397"/>
    <w:rsid w:val="005010A8"/>
    <w:rsid w:val="005202BA"/>
    <w:rsid w:val="00522DCA"/>
    <w:rsid w:val="005343A0"/>
    <w:rsid w:val="00534445"/>
    <w:rsid w:val="005409E4"/>
    <w:rsid w:val="00541935"/>
    <w:rsid w:val="005420AD"/>
    <w:rsid w:val="00544F4A"/>
    <w:rsid w:val="005450F8"/>
    <w:rsid w:val="00565054"/>
    <w:rsid w:val="00565DFC"/>
    <w:rsid w:val="005813B5"/>
    <w:rsid w:val="00597995"/>
    <w:rsid w:val="005B4514"/>
    <w:rsid w:val="005E0B73"/>
    <w:rsid w:val="005E18D7"/>
    <w:rsid w:val="006008B3"/>
    <w:rsid w:val="0061486F"/>
    <w:rsid w:val="00615E0F"/>
    <w:rsid w:val="00627739"/>
    <w:rsid w:val="00646978"/>
    <w:rsid w:val="00651BFF"/>
    <w:rsid w:val="00695FE1"/>
    <w:rsid w:val="006C1E5E"/>
    <w:rsid w:val="006C2049"/>
    <w:rsid w:val="006C2D23"/>
    <w:rsid w:val="006C6E42"/>
    <w:rsid w:val="006C7BF9"/>
    <w:rsid w:val="006D581A"/>
    <w:rsid w:val="006E5E85"/>
    <w:rsid w:val="006F034B"/>
    <w:rsid w:val="007122FA"/>
    <w:rsid w:val="007212FA"/>
    <w:rsid w:val="007313F7"/>
    <w:rsid w:val="00735A2F"/>
    <w:rsid w:val="00737708"/>
    <w:rsid w:val="007417E8"/>
    <w:rsid w:val="00741CBA"/>
    <w:rsid w:val="00745C8D"/>
    <w:rsid w:val="00756BC9"/>
    <w:rsid w:val="00765032"/>
    <w:rsid w:val="00771CE5"/>
    <w:rsid w:val="00791751"/>
    <w:rsid w:val="00795CCA"/>
    <w:rsid w:val="00796A42"/>
    <w:rsid w:val="007A0658"/>
    <w:rsid w:val="007B3BF0"/>
    <w:rsid w:val="007B769E"/>
    <w:rsid w:val="007E049B"/>
    <w:rsid w:val="007E661B"/>
    <w:rsid w:val="007E6B05"/>
    <w:rsid w:val="008030A6"/>
    <w:rsid w:val="00806AB0"/>
    <w:rsid w:val="00806F7E"/>
    <w:rsid w:val="00812C5B"/>
    <w:rsid w:val="00820CB6"/>
    <w:rsid w:val="0082186E"/>
    <w:rsid w:val="0082288A"/>
    <w:rsid w:val="00830A50"/>
    <w:rsid w:val="00834260"/>
    <w:rsid w:val="00837531"/>
    <w:rsid w:val="008410C0"/>
    <w:rsid w:val="00843955"/>
    <w:rsid w:val="0085791D"/>
    <w:rsid w:val="00866332"/>
    <w:rsid w:val="008712DA"/>
    <w:rsid w:val="008955A6"/>
    <w:rsid w:val="008A3EA9"/>
    <w:rsid w:val="008A5A31"/>
    <w:rsid w:val="008A6306"/>
    <w:rsid w:val="008C4BC1"/>
    <w:rsid w:val="008E1219"/>
    <w:rsid w:val="008E5FCC"/>
    <w:rsid w:val="008F06BB"/>
    <w:rsid w:val="008F0849"/>
    <w:rsid w:val="008F2163"/>
    <w:rsid w:val="009067FD"/>
    <w:rsid w:val="00915A7C"/>
    <w:rsid w:val="0093052B"/>
    <w:rsid w:val="00936479"/>
    <w:rsid w:val="00942891"/>
    <w:rsid w:val="00943AA0"/>
    <w:rsid w:val="009637F7"/>
    <w:rsid w:val="00965195"/>
    <w:rsid w:val="0096538E"/>
    <w:rsid w:val="00972264"/>
    <w:rsid w:val="00975AA2"/>
    <w:rsid w:val="00983C61"/>
    <w:rsid w:val="009843F2"/>
    <w:rsid w:val="00987DB4"/>
    <w:rsid w:val="009A1916"/>
    <w:rsid w:val="009A6238"/>
    <w:rsid w:val="009A7F80"/>
    <w:rsid w:val="009C5093"/>
    <w:rsid w:val="009C5132"/>
    <w:rsid w:val="009C6B67"/>
    <w:rsid w:val="009D79CE"/>
    <w:rsid w:val="009E221E"/>
    <w:rsid w:val="009E2993"/>
    <w:rsid w:val="009E34EC"/>
    <w:rsid w:val="009E6F00"/>
    <w:rsid w:val="009F516D"/>
    <w:rsid w:val="00A028BB"/>
    <w:rsid w:val="00A03D2F"/>
    <w:rsid w:val="00A1188D"/>
    <w:rsid w:val="00A12474"/>
    <w:rsid w:val="00A15E2C"/>
    <w:rsid w:val="00A2156C"/>
    <w:rsid w:val="00A34B34"/>
    <w:rsid w:val="00A43F72"/>
    <w:rsid w:val="00A54619"/>
    <w:rsid w:val="00A65B29"/>
    <w:rsid w:val="00A67654"/>
    <w:rsid w:val="00A67F95"/>
    <w:rsid w:val="00A73C95"/>
    <w:rsid w:val="00A80DE7"/>
    <w:rsid w:val="00A85954"/>
    <w:rsid w:val="00A87D4A"/>
    <w:rsid w:val="00AB00F3"/>
    <w:rsid w:val="00AB01D0"/>
    <w:rsid w:val="00AB1645"/>
    <w:rsid w:val="00AC6287"/>
    <w:rsid w:val="00AC7CCC"/>
    <w:rsid w:val="00AD2922"/>
    <w:rsid w:val="00AD7BE6"/>
    <w:rsid w:val="00AE049F"/>
    <w:rsid w:val="00AF1E3E"/>
    <w:rsid w:val="00AF2A94"/>
    <w:rsid w:val="00B176EC"/>
    <w:rsid w:val="00B3325C"/>
    <w:rsid w:val="00B40AB7"/>
    <w:rsid w:val="00B41B32"/>
    <w:rsid w:val="00B41E9C"/>
    <w:rsid w:val="00B51792"/>
    <w:rsid w:val="00B5798D"/>
    <w:rsid w:val="00B601F8"/>
    <w:rsid w:val="00B60A24"/>
    <w:rsid w:val="00B66D77"/>
    <w:rsid w:val="00B717DF"/>
    <w:rsid w:val="00B76FC3"/>
    <w:rsid w:val="00BA05A5"/>
    <w:rsid w:val="00BB303A"/>
    <w:rsid w:val="00BB73E3"/>
    <w:rsid w:val="00BD6970"/>
    <w:rsid w:val="00BE663A"/>
    <w:rsid w:val="00BF63D3"/>
    <w:rsid w:val="00C01BCA"/>
    <w:rsid w:val="00C1678E"/>
    <w:rsid w:val="00C24576"/>
    <w:rsid w:val="00C25F29"/>
    <w:rsid w:val="00C336EE"/>
    <w:rsid w:val="00C342AD"/>
    <w:rsid w:val="00C36CBE"/>
    <w:rsid w:val="00C43A2B"/>
    <w:rsid w:val="00C46CB7"/>
    <w:rsid w:val="00C4717B"/>
    <w:rsid w:val="00C53EFC"/>
    <w:rsid w:val="00C606C9"/>
    <w:rsid w:val="00C615D3"/>
    <w:rsid w:val="00C72FCE"/>
    <w:rsid w:val="00C75430"/>
    <w:rsid w:val="00CA3A64"/>
    <w:rsid w:val="00CA4FA6"/>
    <w:rsid w:val="00CB428D"/>
    <w:rsid w:val="00CD1C08"/>
    <w:rsid w:val="00D14D12"/>
    <w:rsid w:val="00D237FE"/>
    <w:rsid w:val="00D2417F"/>
    <w:rsid w:val="00D63F74"/>
    <w:rsid w:val="00D708BB"/>
    <w:rsid w:val="00D9419C"/>
    <w:rsid w:val="00D9582B"/>
    <w:rsid w:val="00DA5773"/>
    <w:rsid w:val="00DC1EA5"/>
    <w:rsid w:val="00DC3EA1"/>
    <w:rsid w:val="00DD79DA"/>
    <w:rsid w:val="00DF5E0A"/>
    <w:rsid w:val="00E035BB"/>
    <w:rsid w:val="00E12071"/>
    <w:rsid w:val="00E1213B"/>
    <w:rsid w:val="00E25E49"/>
    <w:rsid w:val="00E36AC1"/>
    <w:rsid w:val="00E37BA9"/>
    <w:rsid w:val="00E43193"/>
    <w:rsid w:val="00E523DF"/>
    <w:rsid w:val="00E75C78"/>
    <w:rsid w:val="00E80A9E"/>
    <w:rsid w:val="00E84223"/>
    <w:rsid w:val="00EB3A5A"/>
    <w:rsid w:val="00EB46E2"/>
    <w:rsid w:val="00EB4F91"/>
    <w:rsid w:val="00EB68B0"/>
    <w:rsid w:val="00EB7C3C"/>
    <w:rsid w:val="00EE72C7"/>
    <w:rsid w:val="00EF7B90"/>
    <w:rsid w:val="00F0435C"/>
    <w:rsid w:val="00F21EDD"/>
    <w:rsid w:val="00F249B6"/>
    <w:rsid w:val="00F24C1E"/>
    <w:rsid w:val="00F31E84"/>
    <w:rsid w:val="00F35811"/>
    <w:rsid w:val="00F37E5F"/>
    <w:rsid w:val="00F42997"/>
    <w:rsid w:val="00F4455E"/>
    <w:rsid w:val="00F4772D"/>
    <w:rsid w:val="00F573C0"/>
    <w:rsid w:val="00F61C96"/>
    <w:rsid w:val="00F741E9"/>
    <w:rsid w:val="00F81287"/>
    <w:rsid w:val="00F81362"/>
    <w:rsid w:val="00F85043"/>
    <w:rsid w:val="00F91826"/>
    <w:rsid w:val="00F97913"/>
    <w:rsid w:val="00FC1ED4"/>
    <w:rsid w:val="00FC5AFE"/>
    <w:rsid w:val="00FD1C16"/>
    <w:rsid w:val="00FD5B2D"/>
    <w:rsid w:val="00FE4F01"/>
    <w:rsid w:val="2712A296"/>
    <w:rsid w:val="7D685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D488"/>
  <w15:chartTrackingRefBased/>
  <w15:docId w15:val="{4949451D-5112-4CD0-9B3C-10A6CCC2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332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B3325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B3325C"/>
    <w:rPr>
      <w:b/>
      <w:bCs/>
    </w:rPr>
  </w:style>
  <w:style w:type="character" w:styleId="Hyperlink">
    <w:name w:val="Hyperlink"/>
    <w:basedOn w:val="DefaultParagraphFont"/>
    <w:uiPriority w:val="99"/>
    <w:semiHidden/>
    <w:unhideWhenUsed/>
    <w:rsid w:val="00CA4FA6"/>
    <w:rPr>
      <w:color w:val="0000FF"/>
      <w:u w:val="single"/>
    </w:rPr>
  </w:style>
  <w:style w:type="paragraph" w:styleId="ListParagraph">
    <w:name w:val="List Paragraph"/>
    <w:basedOn w:val="Normal"/>
    <w:uiPriority w:val="34"/>
    <w:qFormat/>
    <w:rsid w:val="00522DCA"/>
    <w:pPr>
      <w:ind w:left="720"/>
      <w:contextualSpacing/>
    </w:pPr>
  </w:style>
  <w:style w:type="paragraph" w:styleId="Header">
    <w:name w:val="header"/>
    <w:basedOn w:val="Normal"/>
    <w:link w:val="HeaderChar"/>
    <w:uiPriority w:val="99"/>
    <w:unhideWhenUsed/>
    <w:rsid w:val="00AC7C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7CCC"/>
  </w:style>
  <w:style w:type="paragraph" w:styleId="Footer">
    <w:name w:val="footer"/>
    <w:basedOn w:val="Normal"/>
    <w:link w:val="FooterChar"/>
    <w:uiPriority w:val="99"/>
    <w:unhideWhenUsed/>
    <w:rsid w:val="00AC7C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50634">
      <w:bodyDiv w:val="1"/>
      <w:marLeft w:val="0"/>
      <w:marRight w:val="0"/>
      <w:marTop w:val="0"/>
      <w:marBottom w:val="0"/>
      <w:divBdr>
        <w:top w:val="none" w:sz="0" w:space="0" w:color="auto"/>
        <w:left w:val="none" w:sz="0" w:space="0" w:color="auto"/>
        <w:bottom w:val="none" w:sz="0" w:space="0" w:color="auto"/>
        <w:right w:val="none" w:sz="0" w:space="0" w:color="auto"/>
      </w:divBdr>
    </w:div>
    <w:div w:id="1157041393">
      <w:bodyDiv w:val="1"/>
      <w:marLeft w:val="0"/>
      <w:marRight w:val="0"/>
      <w:marTop w:val="0"/>
      <w:marBottom w:val="0"/>
      <w:divBdr>
        <w:top w:val="none" w:sz="0" w:space="0" w:color="auto"/>
        <w:left w:val="none" w:sz="0" w:space="0" w:color="auto"/>
        <w:bottom w:val="none" w:sz="0" w:space="0" w:color="auto"/>
        <w:right w:val="none" w:sz="0" w:space="0" w:color="auto"/>
      </w:divBdr>
    </w:div>
    <w:div w:id="1598979817">
      <w:bodyDiv w:val="1"/>
      <w:marLeft w:val="0"/>
      <w:marRight w:val="0"/>
      <w:marTop w:val="0"/>
      <w:marBottom w:val="0"/>
      <w:divBdr>
        <w:top w:val="none" w:sz="0" w:space="0" w:color="auto"/>
        <w:left w:val="none" w:sz="0" w:space="0" w:color="auto"/>
        <w:bottom w:val="none" w:sz="0" w:space="0" w:color="auto"/>
        <w:right w:val="none" w:sz="0" w:space="0" w:color="auto"/>
      </w:divBdr>
    </w:div>
    <w:div w:id="1695157589">
      <w:bodyDiv w:val="1"/>
      <w:marLeft w:val="0"/>
      <w:marRight w:val="0"/>
      <w:marTop w:val="0"/>
      <w:marBottom w:val="0"/>
      <w:divBdr>
        <w:top w:val="none" w:sz="0" w:space="0" w:color="auto"/>
        <w:left w:val="none" w:sz="0" w:space="0" w:color="auto"/>
        <w:bottom w:val="none" w:sz="0" w:space="0" w:color="auto"/>
        <w:right w:val="none" w:sz="0" w:space="0" w:color="auto"/>
      </w:divBdr>
    </w:div>
    <w:div w:id="1866168606">
      <w:bodyDiv w:val="1"/>
      <w:marLeft w:val="0"/>
      <w:marRight w:val="0"/>
      <w:marTop w:val="0"/>
      <w:marBottom w:val="0"/>
      <w:divBdr>
        <w:top w:val="none" w:sz="0" w:space="0" w:color="auto"/>
        <w:left w:val="none" w:sz="0" w:space="0" w:color="auto"/>
        <w:bottom w:val="none" w:sz="0" w:space="0" w:color="auto"/>
        <w:right w:val="none" w:sz="0" w:space="0" w:color="auto"/>
      </w:divBdr>
    </w:div>
    <w:div w:id="1998611833">
      <w:bodyDiv w:val="1"/>
      <w:marLeft w:val="0"/>
      <w:marRight w:val="0"/>
      <w:marTop w:val="0"/>
      <w:marBottom w:val="0"/>
      <w:divBdr>
        <w:top w:val="none" w:sz="0" w:space="0" w:color="auto"/>
        <w:left w:val="none" w:sz="0" w:space="0" w:color="auto"/>
        <w:bottom w:val="none" w:sz="0" w:space="0" w:color="auto"/>
        <w:right w:val="none" w:sz="0" w:space="0" w:color="auto"/>
      </w:divBdr>
    </w:div>
    <w:div w:id="206459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ssets.publishing.service.gov.uk/media/68c15c7f8c6d992f23edd81a/Early_years_inspection_toolkit.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f0e42-f61e-42f4-8f80-38263515bbbd">
      <Terms xmlns="http://schemas.microsoft.com/office/infopath/2007/PartnerControls"/>
    </lcf76f155ced4ddcb4097134ff3c332f>
    <TaxCatchAll xmlns="90a9a386-63b2-4faf-bf37-ada4eccc0810" xsi:nil="true"/>
    <Notes xmlns="b89f0e42-f61e-42f4-8f80-38263515bb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53EBC817195249991CE1EDB110EF1E" ma:contentTypeVersion="23" ma:contentTypeDescription="Create a new document." ma:contentTypeScope="" ma:versionID="d9986469656760dc28fefed67f5be91e">
  <xsd:schema xmlns:xsd="http://www.w3.org/2001/XMLSchema" xmlns:xs="http://www.w3.org/2001/XMLSchema" xmlns:p="http://schemas.microsoft.com/office/2006/metadata/properties" xmlns:ns2="b89f0e42-f61e-42f4-8f80-38263515bbbd" xmlns:ns3="90a9a386-63b2-4faf-bf37-ada4eccc0810" targetNamespace="http://schemas.microsoft.com/office/2006/metadata/properties" ma:root="true" ma:fieldsID="b72e4f535c559d6d37ada505c390b2f5" ns2:_="" ns3:_="">
    <xsd:import namespace="b89f0e42-f61e-42f4-8f80-38263515bbbd"/>
    <xsd:import namespace="90a9a386-63b2-4faf-bf37-ada4eccc0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f0e42-f61e-42f4-8f80-38263515b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9a386-63b2-4faf-bf37-ada4eccc0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899d0-23e1-4bc7-b572-7faab875b93a}" ma:internalName="TaxCatchAll" ma:showField="CatchAllData" ma:web="90a9a386-63b2-4faf-bf37-ada4eccc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CD77D-22A4-489B-8586-89908B5AC6F3}">
  <ds:schemaRefs>
    <ds:schemaRef ds:uri="http://schemas.microsoft.com/office/2006/metadata/properties"/>
    <ds:schemaRef ds:uri="http://schemas.microsoft.com/office/infopath/2007/PartnerControls"/>
    <ds:schemaRef ds:uri="b89f0e42-f61e-42f4-8f80-38263515bbbd"/>
    <ds:schemaRef ds:uri="90a9a386-63b2-4faf-bf37-ada4eccc0810"/>
  </ds:schemaRefs>
</ds:datastoreItem>
</file>

<file path=customXml/itemProps2.xml><?xml version="1.0" encoding="utf-8"?>
<ds:datastoreItem xmlns:ds="http://schemas.openxmlformats.org/officeDocument/2006/customXml" ds:itemID="{D268410B-E2F7-4B3B-8FC2-14F8D13CBE8F}">
  <ds:schemaRefs>
    <ds:schemaRef ds:uri="http://schemas.openxmlformats.org/officeDocument/2006/bibliography"/>
  </ds:schemaRefs>
</ds:datastoreItem>
</file>

<file path=customXml/itemProps3.xml><?xml version="1.0" encoding="utf-8"?>
<ds:datastoreItem xmlns:ds="http://schemas.openxmlformats.org/officeDocument/2006/customXml" ds:itemID="{0A4AE52A-0C08-49DC-ADD8-F86BF868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f0e42-f61e-42f4-8f80-38263515bbbd"/>
    <ds:schemaRef ds:uri="90a9a386-63b2-4faf-bf37-ada4eccc0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2F65A-25A7-4C1F-BCBA-480B2FACE3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Hubble</dc:creator>
  <cp:keywords/>
  <dc:description/>
  <cp:lastModifiedBy>Kate Irvine</cp:lastModifiedBy>
  <cp:revision>11</cp:revision>
  <dcterms:created xsi:type="dcterms:W3CDTF">2026-01-21T08:16:00Z</dcterms:created>
  <dcterms:modified xsi:type="dcterms:W3CDTF">2026-02-04T15:54:15Z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307b08eb,4ddecbc5,6f7c096f</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e9fc0e63-07aa-4a42-9f0d-00e32f43700c_Enabled">
    <vt:lpwstr>true</vt:lpwstr>
  </property>
  <property fmtid="{D5CDD505-2E9C-101B-9397-08002B2CF9AE}" pid="6" name="MSIP_Label_e9fc0e63-07aa-4a42-9f0d-00e32f43700c_SetDate">
    <vt:lpwstr>2025-11-05T15:44:17Z</vt:lpwstr>
  </property>
  <property fmtid="{D5CDD505-2E9C-101B-9397-08002B2CF9AE}" pid="7" name="MSIP_Label_e9fc0e63-07aa-4a42-9f0d-00e32f43700c_Method">
    <vt:lpwstr>Standard</vt:lpwstr>
  </property>
  <property fmtid="{D5CDD505-2E9C-101B-9397-08002B2CF9AE}" pid="8" name="MSIP_Label_e9fc0e63-07aa-4a42-9f0d-00e32f43700c_Name">
    <vt:lpwstr>OFFICIAL - Internal</vt:lpwstr>
  </property>
  <property fmtid="{D5CDD505-2E9C-101B-9397-08002B2CF9AE}" pid="9" name="MSIP_Label_e9fc0e63-07aa-4a42-9f0d-00e32f43700c_SiteId">
    <vt:lpwstr>6378a7a5-0f21-4482-aee0-897eb7de331f</vt:lpwstr>
  </property>
  <property fmtid="{D5CDD505-2E9C-101B-9397-08002B2CF9AE}" pid="10" name="MSIP_Label_e9fc0e63-07aa-4a42-9f0d-00e32f43700c_ActionId">
    <vt:lpwstr>b1ba2856-5d45-42e0-8c96-84a1b0267688</vt:lpwstr>
  </property>
  <property fmtid="{D5CDD505-2E9C-101B-9397-08002B2CF9AE}" pid="11" name="MSIP_Label_e9fc0e63-07aa-4a42-9f0d-00e32f43700c_ContentBits">
    <vt:lpwstr>2</vt:lpwstr>
  </property>
  <property fmtid="{D5CDD505-2E9C-101B-9397-08002B2CF9AE}" pid="12" name="MSIP_Label_e9fc0e63-07aa-4a42-9f0d-00e32f43700c_Tag">
    <vt:lpwstr>10, 3, 0, 1</vt:lpwstr>
  </property>
  <property fmtid="{D5CDD505-2E9C-101B-9397-08002B2CF9AE}" pid="13" name="ContentTypeId">
    <vt:lpwstr>0x0101003553EBC817195249991CE1EDB110EF1E</vt:lpwstr>
  </property>
  <property fmtid="{D5CDD505-2E9C-101B-9397-08002B2CF9AE}" pid="14" name="MediaServiceImageTags">
    <vt:lpwstr/>
  </property>
</Properties>
</file>