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63690" w:rsidR="00BC5016" w:rsidP="00534311" w:rsidRDefault="00247622" w14:paraId="4E424C53" w14:textId="0EC5D77A">
      <w:pPr>
        <w:rPr>
          <w:b w:val="1"/>
          <w:bCs w:val="1"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A1AFEEB" wp14:editId="1A349FE4">
            <wp:simplePos x="0" y="0"/>
            <wp:positionH relativeFrom="column">
              <wp:posOffset>5464175</wp:posOffset>
            </wp:positionH>
            <wp:positionV relativeFrom="paragraph">
              <wp:posOffset>3810</wp:posOffset>
            </wp:positionV>
            <wp:extent cx="1016000" cy="565785"/>
            <wp:effectExtent l="0" t="0" r="0" b="5715"/>
            <wp:wrapSquare wrapText="bothSides"/>
            <wp:docPr id="1016433828" name="Picture 1" descr="A red and white logo with a boat and cas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33828" name="Picture 1" descr="A red and white logo with a boat and cast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2504E">
        <w:rPr>
          <w:b w:val="1"/>
          <w:bCs w:val="1"/>
          <w:sz w:val="36"/>
          <w:szCs w:val="36"/>
        </w:rPr>
        <w:t xml:space="preserve">  </w:t>
      </w:r>
      <w:r w:rsidR="0067107C">
        <w:rPr>
          <w:b w:val="1"/>
          <w:bCs w:val="1"/>
          <w:sz w:val="36"/>
          <w:szCs w:val="36"/>
        </w:rPr>
        <w:t xml:space="preserve">           </w:t>
      </w:r>
      <w:r w:rsidR="009F1C6B">
        <w:rPr>
          <w:b w:val="1"/>
          <w:bCs w:val="1"/>
          <w:sz w:val="36"/>
          <w:szCs w:val="36"/>
        </w:rPr>
        <w:t xml:space="preserve">The </w:t>
      </w:r>
      <w:r w:rsidRPr="00763690" w:rsidR="00BC5016">
        <w:rPr>
          <w:b w:val="1"/>
          <w:bCs w:val="1"/>
          <w:sz w:val="36"/>
          <w:szCs w:val="36"/>
        </w:rPr>
        <w:t>Ofsted planning call</w:t>
      </w:r>
      <w:r w:rsidR="00D12E28">
        <w:rPr>
          <w:b w:val="1"/>
          <w:bCs w:val="1"/>
          <w:sz w:val="36"/>
          <w:szCs w:val="36"/>
        </w:rPr>
        <w:t xml:space="preserve"> for </w:t>
      </w:r>
      <w:r w:rsidR="0067107C">
        <w:rPr>
          <w:b w:val="1"/>
          <w:bCs w:val="1"/>
          <w:sz w:val="36"/>
          <w:szCs w:val="36"/>
        </w:rPr>
        <w:t>Schools</w:t>
      </w:r>
      <w:r w:rsidR="00A86D8F">
        <w:rPr>
          <w:b w:val="1"/>
          <w:bCs w:val="1"/>
          <w:sz w:val="36"/>
          <w:szCs w:val="36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Pr="00AB6F41" w:rsidR="0013628D" w:rsidTr="00784949" w14:paraId="0067C3A5" w14:textId="77777777">
        <w:tc>
          <w:tcPr>
            <w:tcW w:w="10480" w:type="dxa"/>
            <w:shd w:val="clear" w:color="auto" w:fill="A5C9EB" w:themeFill="text2" w:themeFillTint="40"/>
          </w:tcPr>
          <w:p w:rsidRPr="00AB6F41" w:rsidR="0013628D" w:rsidP="00BC5016" w:rsidRDefault="0013628D" w14:paraId="21602492" w14:textId="36B2444A">
            <w:pPr>
              <w:rPr>
                <w:rFonts w:ascii="Calibri" w:hAnsi="Calibri" w:cs="Calibri"/>
                <w:b/>
                <w:bCs/>
              </w:rPr>
            </w:pPr>
            <w:r w:rsidRPr="00AB6F41">
              <w:rPr>
                <w:rFonts w:ascii="Calibri" w:hAnsi="Calibri" w:cs="Calibri"/>
                <w:b/>
                <w:bCs/>
              </w:rPr>
              <w:t xml:space="preserve">Before the call: </w:t>
            </w:r>
          </w:p>
        </w:tc>
      </w:tr>
      <w:tr w:rsidRPr="00AB6F41" w:rsidR="007750AA" w:rsidTr="0013628D" w14:paraId="060CC50C" w14:textId="77777777">
        <w:tc>
          <w:tcPr>
            <w:tcW w:w="10480" w:type="dxa"/>
          </w:tcPr>
          <w:p w:rsidRPr="00AB6F41" w:rsidR="00331A46" w:rsidP="00FD6E05" w:rsidRDefault="00057A70" w14:paraId="5508B9B8" w14:textId="31095506">
            <w:pPr>
              <w:rPr>
                <w:rFonts w:ascii="Calibri" w:hAnsi="Calibri" w:cs="Calibri"/>
              </w:rPr>
            </w:pPr>
            <w:r w:rsidRPr="00AB6F41">
              <w:rPr>
                <w:rFonts w:ascii="Calibri" w:hAnsi="Calibri" w:cs="Calibri"/>
              </w:rPr>
              <w:t xml:space="preserve">Before </w:t>
            </w:r>
            <w:r w:rsidR="009F1C6B">
              <w:rPr>
                <w:rFonts w:ascii="Calibri" w:hAnsi="Calibri" w:cs="Calibri"/>
              </w:rPr>
              <w:t>Ofsted</w:t>
            </w:r>
            <w:r w:rsidRPr="00AB6F41" w:rsidR="008F5D59">
              <w:rPr>
                <w:rFonts w:ascii="Calibri" w:hAnsi="Calibri" w:cs="Calibri"/>
              </w:rPr>
              <w:t xml:space="preserve"> visit, </w:t>
            </w:r>
            <w:r w:rsidR="00B803EA">
              <w:rPr>
                <w:rFonts w:ascii="Calibri" w:hAnsi="Calibri" w:cs="Calibri"/>
              </w:rPr>
              <w:t>i</w:t>
            </w:r>
            <w:r w:rsidRPr="00AB6F41" w:rsidR="007750AA">
              <w:rPr>
                <w:rFonts w:ascii="Calibri" w:hAnsi="Calibri" w:cs="Calibri"/>
              </w:rPr>
              <w:t>nspectors will</w:t>
            </w:r>
            <w:r w:rsidRPr="00AB6F41" w:rsidR="00331A46">
              <w:rPr>
                <w:rFonts w:ascii="Calibri" w:hAnsi="Calibri" w:cs="Calibri"/>
              </w:rPr>
              <w:t xml:space="preserve"> gather information about your s</w:t>
            </w:r>
            <w:r w:rsidR="00B803EA">
              <w:rPr>
                <w:rFonts w:ascii="Calibri" w:hAnsi="Calibri" w:cs="Calibri"/>
              </w:rPr>
              <w:t>chool</w:t>
            </w:r>
            <w:r w:rsidRPr="00AB6F41" w:rsidR="00FD6E05">
              <w:rPr>
                <w:rFonts w:ascii="Calibri" w:hAnsi="Calibri" w:cs="Calibri"/>
              </w:rPr>
              <w:t xml:space="preserve">. </w:t>
            </w:r>
            <w:r w:rsidRPr="00AB6F41" w:rsidR="00263D11">
              <w:rPr>
                <w:rFonts w:ascii="Calibri" w:hAnsi="Calibri" w:cs="Calibri"/>
              </w:rPr>
              <w:t xml:space="preserve">E.g. - </w:t>
            </w:r>
          </w:p>
          <w:p w:rsidRPr="00AB6F41" w:rsidR="00A23725" w:rsidP="00A218B1" w:rsidRDefault="00331A46" w14:paraId="52C6A076" w14:textId="0B07E3D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 w:rsidRPr="00AB6F41">
              <w:rPr>
                <w:rFonts w:ascii="Calibri" w:hAnsi="Calibri" w:cs="Calibri"/>
              </w:rPr>
              <w:t>They will</w:t>
            </w:r>
            <w:r w:rsidRPr="00AB6F41" w:rsidR="007750AA">
              <w:rPr>
                <w:rFonts w:ascii="Calibri" w:hAnsi="Calibri" w:cs="Calibri"/>
              </w:rPr>
              <w:t xml:space="preserve"> look at your website</w:t>
            </w:r>
            <w:r w:rsidRPr="00AB6F41" w:rsidR="00A867E7">
              <w:rPr>
                <w:rFonts w:ascii="Calibri" w:hAnsi="Calibri" w:cs="Calibri"/>
              </w:rPr>
              <w:t xml:space="preserve">, previous </w:t>
            </w:r>
            <w:r w:rsidRPr="00AB6F41" w:rsidR="00057A70">
              <w:rPr>
                <w:rFonts w:ascii="Calibri" w:hAnsi="Calibri" w:cs="Calibri"/>
              </w:rPr>
              <w:t>Ofsted reports</w:t>
            </w:r>
            <w:r w:rsidRPr="00AB6F41" w:rsidR="004F00AF">
              <w:rPr>
                <w:rFonts w:ascii="Calibri" w:hAnsi="Calibri" w:cs="Calibri"/>
              </w:rPr>
              <w:t xml:space="preserve">, </w:t>
            </w:r>
            <w:r w:rsidR="00EF6A48">
              <w:rPr>
                <w:rFonts w:ascii="Calibri" w:hAnsi="Calibri" w:cs="Calibri"/>
              </w:rPr>
              <w:t xml:space="preserve">complaints, </w:t>
            </w:r>
            <w:r w:rsidRPr="00AB6F41" w:rsidR="004F00AF">
              <w:rPr>
                <w:rFonts w:ascii="Calibri" w:hAnsi="Calibri" w:cs="Calibri"/>
              </w:rPr>
              <w:t xml:space="preserve">regulatory and </w:t>
            </w:r>
            <w:r w:rsidRPr="00AB6F41" w:rsidR="00057A70">
              <w:rPr>
                <w:rFonts w:ascii="Calibri" w:hAnsi="Calibri" w:cs="Calibri"/>
              </w:rPr>
              <w:t xml:space="preserve">safeguarding </w:t>
            </w:r>
            <w:r w:rsidRPr="00AB6F41" w:rsidR="004F00AF">
              <w:rPr>
                <w:rFonts w:ascii="Calibri" w:hAnsi="Calibri" w:cs="Calibri"/>
              </w:rPr>
              <w:t>history</w:t>
            </w:r>
            <w:r w:rsidRPr="00AB6F41" w:rsidR="00931084">
              <w:rPr>
                <w:rFonts w:ascii="Calibri" w:hAnsi="Calibri" w:cs="Calibri"/>
              </w:rPr>
              <w:t>, any information reported in the press or online</w:t>
            </w:r>
          </w:p>
          <w:p w:rsidRPr="00AB6F41" w:rsidR="007750AA" w:rsidP="00A218B1" w:rsidRDefault="00A23725" w14:paraId="480BC18B" w14:textId="0E3A479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alibri" w:hAnsi="Calibri" w:cs="Calibri"/>
              </w:rPr>
            </w:pPr>
            <w:r w:rsidRPr="00AB6F41">
              <w:rPr>
                <w:rFonts w:ascii="Calibri" w:hAnsi="Calibri" w:cs="Calibri"/>
              </w:rPr>
              <w:t>T</w:t>
            </w:r>
            <w:r w:rsidRPr="00AB6F41" w:rsidR="007750AA">
              <w:rPr>
                <w:rFonts w:ascii="Calibri" w:hAnsi="Calibri" w:cs="Calibri"/>
              </w:rPr>
              <w:t>hey will consider publicly available data relating to context of local area eg deprivation levels, EYPP, obesity &amp; oral health statistics</w:t>
            </w:r>
            <w:r w:rsidR="00EE2C1A">
              <w:rPr>
                <w:rFonts w:ascii="Calibri" w:hAnsi="Calibri" w:cs="Calibri"/>
              </w:rPr>
              <w:t xml:space="preserve">, </w:t>
            </w:r>
            <w:r w:rsidR="00C02F57">
              <w:rPr>
                <w:rFonts w:ascii="Calibri" w:hAnsi="Calibri" w:cs="Calibri"/>
              </w:rPr>
              <w:t>Local SEND inspection etc</w:t>
            </w:r>
          </w:p>
        </w:tc>
      </w:tr>
    </w:tbl>
    <w:p w:rsidRPr="00AB6F41" w:rsidR="00BC5016" w:rsidP="00BC5016" w:rsidRDefault="00BC5016" w14:paraId="4F926E37" w14:textId="7777777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Pr="00AB6F41" w:rsidR="00A23725" w:rsidTr="00784949" w14:paraId="111FBC8D" w14:textId="77777777">
        <w:tc>
          <w:tcPr>
            <w:tcW w:w="10480" w:type="dxa"/>
            <w:shd w:val="clear" w:color="auto" w:fill="A5C9EB" w:themeFill="text2" w:themeFillTint="40"/>
          </w:tcPr>
          <w:p w:rsidRPr="00AB6F41" w:rsidR="00A23725" w:rsidP="00BC5016" w:rsidRDefault="00A23725" w14:paraId="75D1EA8B" w14:textId="65A5CD1A">
            <w:pPr>
              <w:rPr>
                <w:rFonts w:ascii="Calibri" w:hAnsi="Calibri" w:cs="Calibri"/>
                <w:b/>
                <w:bCs/>
              </w:rPr>
            </w:pPr>
            <w:r w:rsidRPr="00AB6F41">
              <w:rPr>
                <w:rFonts w:ascii="Calibri" w:hAnsi="Calibri" w:cs="Calibri"/>
                <w:b/>
                <w:bCs/>
              </w:rPr>
              <w:t>The initial call</w:t>
            </w:r>
            <w:r w:rsidRPr="00AB6F41" w:rsidR="00182971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Pr="00AB6F41" w:rsidR="00A23725" w:rsidTr="00A23725" w14:paraId="21EAAA52" w14:textId="77777777">
        <w:tc>
          <w:tcPr>
            <w:tcW w:w="10480" w:type="dxa"/>
          </w:tcPr>
          <w:p w:rsidRPr="00AB6F41" w:rsidR="00A23725" w:rsidP="00A218B1" w:rsidRDefault="00182971" w14:paraId="34CBEF7E" w14:textId="052AD180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</w:rPr>
            </w:pPr>
            <w:r w:rsidRPr="00AB6F41">
              <w:rPr>
                <w:rFonts w:ascii="Calibri" w:hAnsi="Calibri" w:cs="Calibri"/>
              </w:rPr>
              <w:t xml:space="preserve">This will take place </w:t>
            </w:r>
            <w:r w:rsidR="00EF6A48">
              <w:rPr>
                <w:rFonts w:ascii="Calibri" w:hAnsi="Calibri" w:cs="Calibri"/>
              </w:rPr>
              <w:t>between 9.30 and</w:t>
            </w:r>
            <w:r w:rsidRPr="00AB6F41">
              <w:rPr>
                <w:rFonts w:ascii="Calibri" w:hAnsi="Calibri" w:cs="Calibri"/>
              </w:rPr>
              <w:t xml:space="preserve"> 10am on the </w:t>
            </w:r>
            <w:r w:rsidR="00B447E8">
              <w:rPr>
                <w:rFonts w:ascii="Calibri" w:hAnsi="Calibri" w:cs="Calibri"/>
              </w:rPr>
              <w:t>designated day</w:t>
            </w:r>
          </w:p>
          <w:p w:rsidRPr="00AB6F41" w:rsidR="00182971" w:rsidP="00A218B1" w:rsidRDefault="00E416B1" w14:paraId="09912FFD" w14:textId="7142AA18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an inspection without notice the inspector will call about 15 minutes before arriving</w:t>
            </w:r>
          </w:p>
        </w:tc>
      </w:tr>
    </w:tbl>
    <w:p w:rsidRPr="00AB6F41" w:rsidR="00A23725" w:rsidP="00BC5016" w:rsidRDefault="00A23725" w14:paraId="12F56AD4" w14:textId="7777777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0"/>
      </w:tblGrid>
      <w:tr w:rsidRPr="00AB6F41" w:rsidR="006C1E0C" w:rsidTr="00784949" w14:paraId="18EFD10F" w14:textId="77777777">
        <w:tc>
          <w:tcPr>
            <w:tcW w:w="10480" w:type="dxa"/>
            <w:shd w:val="clear" w:color="auto" w:fill="A5C9EB" w:themeFill="text2" w:themeFillTint="40"/>
          </w:tcPr>
          <w:p w:rsidRPr="00AB6F41" w:rsidR="006C1E0C" w:rsidP="00BC5016" w:rsidRDefault="006C1E0C" w14:paraId="51B7F2F0" w14:textId="4477EB1A">
            <w:pPr>
              <w:rPr>
                <w:rFonts w:ascii="Calibri" w:hAnsi="Calibri" w:cs="Calibri"/>
                <w:b/>
                <w:bCs/>
              </w:rPr>
            </w:pPr>
            <w:r w:rsidRPr="00AB6F41">
              <w:rPr>
                <w:rFonts w:ascii="Calibri" w:hAnsi="Calibri" w:cs="Calibri"/>
                <w:b/>
                <w:bCs/>
              </w:rPr>
              <w:t>The planning call:</w:t>
            </w:r>
          </w:p>
        </w:tc>
      </w:tr>
      <w:tr w:rsidRPr="00AB6F41" w:rsidR="006C1E0C" w:rsidTr="005A000B" w14:paraId="39392C3A" w14:textId="77777777">
        <w:trPr>
          <w:trHeight w:val="4531"/>
        </w:trPr>
        <w:tc>
          <w:tcPr>
            <w:tcW w:w="10480" w:type="dxa"/>
          </w:tcPr>
          <w:p w:rsidRPr="00AB6F41" w:rsidR="00276C25" w:rsidP="0023382C" w:rsidRDefault="001C76C6" w14:paraId="0569E2F3" w14:textId="179AE60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300"/>
              <w:ind w:left="360"/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The Planning call</w:t>
            </w:r>
            <w:r w:rsidRPr="00AB6F41" w:rsidR="00B31FD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is </w:t>
            </w:r>
            <w:r w:rsidRPr="00247046" w:rsidR="00B31FD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described in </w:t>
            </w:r>
            <w:r w:rsidRPr="00247046" w:rsidR="002D517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the </w:t>
            </w:r>
            <w:r w:rsidRPr="00247046" w:rsidR="000F73BC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School</w:t>
            </w:r>
            <w:r w:rsidRPr="00247046" w:rsidR="00B31FD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Inspection operating guide for inspectors</w:t>
            </w:r>
            <w:r w:rsidRPr="00AB6F41" w:rsidR="00B31FD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2D517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as </w:t>
            </w:r>
            <w:r w:rsidRPr="00AB6F41" w:rsidR="00C46D17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‘</w:t>
            </w:r>
            <w:r w:rsidRPr="00AB6F41" w:rsidR="00B31FD1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>A m</w:t>
            </w:r>
            <w:r w:rsidRPr="00AB6F41" w:rsidR="00C46D17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>eaningful and professional conversation about the s</w:t>
            </w:r>
            <w:r w:rsidR="00B02A44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>chool</w:t>
            </w:r>
            <w:r w:rsidRPr="00AB6F41" w:rsidR="00C46D17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, its context, and leaders’ views about its strengths and priorities for improvement. It is an important discussion that will help you to form a top-level view of the </w:t>
            </w:r>
            <w:r w:rsidR="00247046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>school</w:t>
            </w:r>
            <w:r w:rsidRPr="00AB6F41" w:rsidR="00C46D17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’ </w:t>
            </w:r>
          </w:p>
          <w:p w:rsidRPr="00AB6F41" w:rsidR="006C1E0C" w:rsidP="0023382C" w:rsidRDefault="00276C25" w14:paraId="0B4CD706" w14:textId="52179D0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300"/>
              <w:ind w:left="360"/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cs="Calibri"/>
              </w:rPr>
              <w:t>It</w:t>
            </w:r>
            <w:r w:rsidRPr="00AB6F41" w:rsidR="006C1E0C">
              <w:rPr>
                <w:rFonts w:ascii="Calibri" w:hAnsi="Calibri" w:cs="Calibri"/>
              </w:rPr>
              <w:t xml:space="preserve"> will be a second, longer call on the same day</w:t>
            </w:r>
            <w:r w:rsidRPr="00AB6F41" w:rsidR="00C46D17">
              <w:rPr>
                <w:rFonts w:ascii="Calibri" w:hAnsi="Calibri" w:cs="Calibri"/>
              </w:rPr>
              <w:t xml:space="preserve"> as the initial call. It is usually a </w:t>
            </w:r>
            <w:r w:rsidRPr="00AB6F41" w:rsidR="006C1E0C">
              <w:rPr>
                <w:rFonts w:ascii="Calibri" w:hAnsi="Calibri" w:cs="Calibri"/>
              </w:rPr>
              <w:t>video call</w:t>
            </w:r>
            <w:r w:rsidRPr="00AB6F41" w:rsidR="00C46D17">
              <w:rPr>
                <w:rFonts w:ascii="Calibri" w:hAnsi="Calibri" w:cs="Calibri"/>
              </w:rPr>
              <w:t xml:space="preserve"> and takes</w:t>
            </w:r>
            <w:r w:rsidRPr="00AB6F41" w:rsidR="006C1E0C">
              <w:rPr>
                <w:rFonts w:ascii="Calibri" w:hAnsi="Calibri" w:cs="Calibri"/>
              </w:rPr>
              <w:t xml:space="preserve"> about </w:t>
            </w:r>
            <w:r w:rsidR="005F6987">
              <w:rPr>
                <w:rFonts w:ascii="Calibri" w:hAnsi="Calibri" w:cs="Calibri"/>
              </w:rPr>
              <w:t>9</w:t>
            </w:r>
            <w:r w:rsidRPr="00AB6F41" w:rsidR="006C1E0C">
              <w:rPr>
                <w:rFonts w:ascii="Calibri" w:hAnsi="Calibri" w:cs="Calibri"/>
              </w:rPr>
              <w:t>0 min</w:t>
            </w:r>
            <w:r w:rsidR="005F6987">
              <w:rPr>
                <w:rFonts w:ascii="Calibri" w:hAnsi="Calibri" w:cs="Calibri"/>
              </w:rPr>
              <w:t>utes.</w:t>
            </w:r>
          </w:p>
          <w:p w:rsidRPr="00AB6F41" w:rsidR="00C27111" w:rsidP="0023382C" w:rsidRDefault="00C27111" w14:paraId="1C035A6F" w14:textId="7777777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300"/>
              <w:ind w:left="360"/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cs="Calibri"/>
                <w:color w:val="0B0C0C"/>
                <w:kern w:val="0"/>
                <w:lang w:eastAsia="en-GB"/>
                <w14:ligatures w14:val="none"/>
              </w:rPr>
              <w:t>The call will be in 3 parts:</w:t>
            </w:r>
          </w:p>
          <w:p w:rsidRPr="00AB6F41" w:rsidR="00C27111" w:rsidP="0023382C" w:rsidRDefault="00C27111" w14:paraId="0A1BA0FD" w14:textId="2EC1D4AD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300"/>
              <w:ind w:left="417"/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Introductions and discussing practicalities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– </w:t>
            </w:r>
            <w:r w:rsidRPr="00AB6F41" w:rsidR="00B66F66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Leader’s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wellbeing, any reasonable adjustments needed, time to ask questions to clarify the process, </w:t>
            </w:r>
          </w:p>
          <w:p w:rsidRPr="00AB6F41" w:rsidR="00C27111" w:rsidP="0023382C" w:rsidRDefault="00C27111" w14:paraId="6C50A4B6" w14:textId="62B8B891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300"/>
              <w:ind w:left="417"/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 xml:space="preserve">Understanding the </w:t>
            </w:r>
            <w:r w:rsidR="00EA22DC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school’s</w:t>
            </w:r>
            <w:r w:rsidRPr="00AB6F41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 xml:space="preserve"> context</w:t>
            </w:r>
            <w:r w:rsidRPr="00AB6F41" w:rsidR="00184D86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 xml:space="preserve"> and leader</w:t>
            </w:r>
            <w:r w:rsidR="00EA22DC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’</w:t>
            </w:r>
            <w:r w:rsidRPr="00AB6F41" w:rsidR="00184D86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s priorities for improvement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– ‘</w:t>
            </w:r>
            <w:r w:rsidRPr="00AB6F41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to develop an accurate understanding of the </w:t>
            </w:r>
            <w:r w:rsidR="00B000E2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>school’</w:t>
            </w:r>
            <w:r w:rsidRPr="00AB6F41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s context, including the demographics of the children and their needs’. 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This will help the inspector reflect on the impact of </w:t>
            </w:r>
            <w:r w:rsidRPr="00AB6F41" w:rsidR="005100F7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leader’s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actions on the children, particularly disadvantaged children, those with SEND or those known (or previously known) to children’s social care and those who face barriers to learning and/or well-being.</w:t>
            </w:r>
          </w:p>
          <w:p w:rsidRPr="00AB6F41" w:rsidR="003866D7" w:rsidP="0023382C" w:rsidRDefault="00C27111" w14:paraId="4333E731" w14:textId="28DBD79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150"/>
              <w:ind w:left="417"/>
              <w:rPr>
                <w:rFonts w:ascii="Calibri" w:hAnsi="Calibri" w:cs="Calibri"/>
              </w:rPr>
            </w:pPr>
            <w:r w:rsidRPr="00AB6F41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Planning the timetable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24B6C" w:rsidR="00A24B6C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for the first inspection day</w:t>
            </w:r>
            <w:r w:rsidR="00A24B6C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F81CD7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–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F81CD7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Inspectors will c</w:t>
            </w:r>
            <w:r w:rsidRPr="00AB6F41">
              <w:rPr>
                <w:rFonts w:ascii="Calibri" w:hAnsi="Calibri" w:cs="Calibri"/>
                <w:color w:val="0B0C0C"/>
                <w:shd w:val="clear" w:color="auto" w:fill="FFFFFF"/>
              </w:rPr>
              <w:t xml:space="preserve">onsider and plan with leaders what inspection activities </w:t>
            </w:r>
            <w:r w:rsidRPr="00AB6F41" w:rsidR="00F81CD7">
              <w:rPr>
                <w:rFonts w:ascii="Calibri" w:hAnsi="Calibri" w:cs="Calibri"/>
                <w:color w:val="0B0C0C"/>
                <w:shd w:val="clear" w:color="auto" w:fill="FFFFFF"/>
              </w:rPr>
              <w:t>they</w:t>
            </w:r>
            <w:r w:rsidRPr="00AB6F41">
              <w:rPr>
                <w:rFonts w:ascii="Calibri" w:hAnsi="Calibri" w:cs="Calibri"/>
                <w:color w:val="0B0C0C"/>
                <w:shd w:val="clear" w:color="auto" w:fill="FFFFFF"/>
              </w:rPr>
              <w:t xml:space="preserve"> need to carry out to gather the necessary evidence</w:t>
            </w:r>
            <w:r w:rsidRPr="00AB6F41" w:rsidR="003866D7">
              <w:rPr>
                <w:rFonts w:ascii="Calibri" w:hAnsi="Calibri" w:cs="Calibri"/>
                <w:color w:val="0B0C0C"/>
                <w:shd w:val="clear" w:color="auto" w:fill="FFFFFF"/>
              </w:rPr>
              <w:t xml:space="preserve">. This will include </w:t>
            </w:r>
            <w:r w:rsidR="00DD18A8">
              <w:rPr>
                <w:rFonts w:ascii="Calibri" w:hAnsi="Calibri" w:cs="Calibri"/>
                <w:color w:val="0B0C0C"/>
                <w:shd w:val="clear" w:color="auto" w:fill="FFFFFF"/>
              </w:rPr>
              <w:t xml:space="preserve">learning walks, </w:t>
            </w:r>
            <w:r w:rsidR="00107B91">
              <w:rPr>
                <w:rFonts w:ascii="Calibri" w:hAnsi="Calibri" w:cs="Calibri"/>
                <w:color w:val="0B0C0C"/>
                <w:shd w:val="clear" w:color="auto" w:fill="FFFFFF"/>
              </w:rPr>
              <w:t xml:space="preserve">case sampling, </w:t>
            </w:r>
            <w:r w:rsidRPr="00AB6F41" w:rsidR="003866D7">
              <w:rPr>
                <w:rFonts w:ascii="Calibri" w:hAnsi="Calibri" w:cs="Calibri"/>
                <w:color w:val="0B0C0C"/>
                <w:shd w:val="clear" w:color="auto" w:fill="FFFFFF"/>
              </w:rPr>
              <w:t>meeting</w:t>
            </w:r>
            <w:r w:rsidRPr="00AB6F41" w:rsidR="0036091F">
              <w:rPr>
                <w:rFonts w:ascii="Calibri" w:hAnsi="Calibri" w:cs="Calibri"/>
                <w:color w:val="0B0C0C"/>
                <w:shd w:val="clear" w:color="auto" w:fill="FFFFFF"/>
              </w:rPr>
              <w:t>s</w:t>
            </w:r>
            <w:r w:rsidRPr="00AB6F41" w:rsidR="003866D7">
              <w:rPr>
                <w:rFonts w:ascii="Calibri" w:hAnsi="Calibri" w:cs="Calibri"/>
                <w:color w:val="0B0C0C"/>
                <w:shd w:val="clear" w:color="auto" w:fill="FFFFFF"/>
              </w:rPr>
              <w:t xml:space="preserve"> with the leadership team, The DSL, the SENCo</w:t>
            </w:r>
            <w:r w:rsidR="00DD43D0">
              <w:rPr>
                <w:rFonts w:ascii="Calibri" w:hAnsi="Calibri" w:cs="Calibri"/>
                <w:color w:val="0B0C0C"/>
                <w:shd w:val="clear" w:color="auto" w:fill="FFFFFF"/>
              </w:rPr>
              <w:t>, Governors</w:t>
            </w:r>
            <w:r w:rsidRPr="00AB6F41" w:rsidR="003866D7">
              <w:rPr>
                <w:rFonts w:ascii="Calibri" w:hAnsi="Calibri" w:cs="Calibri"/>
                <w:color w:val="0B0C0C"/>
                <w:shd w:val="clear" w:color="auto" w:fill="FFFFFF"/>
              </w:rPr>
              <w:t xml:space="preserve"> and with parents</w:t>
            </w:r>
            <w:r w:rsidRPr="00AB6F41" w:rsidR="00EE5A74">
              <w:rPr>
                <w:rFonts w:ascii="Calibri" w:hAnsi="Calibri" w:cs="Calibri"/>
                <w:color w:val="0B0C0C"/>
                <w:shd w:val="clear" w:color="auto" w:fill="FFFFFF"/>
              </w:rPr>
              <w:t xml:space="preserve"> as well as time to check</w:t>
            </w:r>
            <w:r w:rsidRPr="00AB6F41" w:rsidR="00857E38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="005E7B84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the single central record (SCR</w:t>
            </w:r>
            <w:r w:rsidR="00E44BA8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)</w:t>
            </w:r>
            <w:r w:rsidR="00107B9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etc</w:t>
            </w:r>
            <w:r w:rsidRPr="00AB6F41" w:rsidR="00EE5A74">
              <w:rPr>
                <w:rFonts w:ascii="Calibri" w:hAnsi="Calibri" w:cs="Calibri"/>
                <w:color w:val="0B0C0C"/>
                <w:shd w:val="clear" w:color="auto" w:fill="FFFFFF"/>
              </w:rPr>
              <w:t xml:space="preserve"> </w:t>
            </w:r>
          </w:p>
        </w:tc>
      </w:tr>
    </w:tbl>
    <w:p w:rsidRPr="0023382C" w:rsidR="00A23725" w:rsidP="00BC5016" w:rsidRDefault="00A23725" w14:paraId="3F06230C" w14:textId="77777777">
      <w:pPr>
        <w:rPr>
          <w:rFonts w:ascii="Calibri" w:hAnsi="Calibri" w:cs="Calibri"/>
          <w:sz w:val="16"/>
          <w:szCs w:val="16"/>
        </w:rPr>
      </w:pPr>
    </w:p>
    <w:p w:rsidR="005522BB" w:rsidP="00784949" w:rsidRDefault="000F6E7E" w14:paraId="637341F7" w14:textId="01120324">
      <w:pPr>
        <w:rPr>
          <w:rFonts w:ascii="Calibri" w:hAnsi="Calibri" w:cs="Calibri"/>
        </w:rPr>
      </w:pPr>
      <w:r w:rsidRPr="00AB6F41">
        <w:rPr>
          <w:rFonts w:ascii="Calibri" w:hAnsi="Calibri" w:cs="Calibri"/>
        </w:rPr>
        <w:t xml:space="preserve">During the planning call the inspector will want to discuss the following </w:t>
      </w:r>
      <w:r w:rsidR="00C53C59">
        <w:rPr>
          <w:rFonts w:ascii="Calibri" w:hAnsi="Calibri" w:cs="Calibri"/>
        </w:rPr>
        <w:t>s</w:t>
      </w:r>
      <w:r w:rsidRPr="00584270" w:rsidR="00C53C59">
        <w:rPr>
          <w:rFonts w:ascii="Calibri" w:hAnsi="Calibri" w:cs="Calibri"/>
        </w:rPr>
        <w:t>tatements</w:t>
      </w:r>
      <w:r w:rsidR="005E0BBF">
        <w:rPr>
          <w:rFonts w:ascii="Calibri" w:hAnsi="Calibri" w:cs="Calibri"/>
        </w:rPr>
        <w:t xml:space="preserve"> (taken</w:t>
      </w:r>
      <w:r w:rsidRPr="00584270" w:rsidR="00C53C59">
        <w:rPr>
          <w:rFonts w:ascii="Calibri" w:hAnsi="Calibri" w:cs="Calibri"/>
        </w:rPr>
        <w:t xml:space="preserve"> from</w:t>
      </w:r>
      <w:r w:rsidR="00C53C59">
        <w:rPr>
          <w:rFonts w:ascii="Calibri" w:hAnsi="Calibri" w:cs="Calibri"/>
          <w:b/>
          <w:bCs/>
        </w:rPr>
        <w:t xml:space="preserve"> </w:t>
      </w:r>
      <w:r w:rsidRPr="00AB6F41" w:rsidR="00C53C59">
        <w:rPr>
          <w:rFonts w:ascii="Calibri" w:hAnsi="Calibri" w:eastAsia="Times New Roman" w:cs="Calibri"/>
          <w:color w:val="0B0C0C"/>
          <w:kern w:val="0"/>
          <w:lang w:eastAsia="en-GB"/>
          <w14:ligatures w14:val="none"/>
        </w:rPr>
        <w:t>the</w:t>
      </w:r>
      <w:r w:rsidRPr="00AB6F41" w:rsidR="00C53C59">
        <w:rPr>
          <w:rFonts w:ascii="Calibri" w:hAnsi="Calibri" w:eastAsia="Times New Roman" w:cs="Calibri"/>
          <w:i/>
          <w:iCs/>
          <w:color w:val="0B0C0C"/>
          <w:kern w:val="0"/>
          <w:lang w:eastAsia="en-GB"/>
          <w14:ligatures w14:val="none"/>
        </w:rPr>
        <w:t xml:space="preserve"> </w:t>
      </w:r>
      <w:r w:rsidR="00617641">
        <w:rPr>
          <w:rFonts w:ascii="Calibri" w:hAnsi="Calibri" w:eastAsia="Times New Roman" w:cs="Calibri"/>
          <w:color w:val="0B0C0C"/>
          <w:kern w:val="0"/>
          <w:lang w:eastAsia="en-GB"/>
          <w14:ligatures w14:val="none"/>
        </w:rPr>
        <w:t>School</w:t>
      </w:r>
      <w:r w:rsidRPr="00AB6F41" w:rsidR="00C53C59">
        <w:rPr>
          <w:rFonts w:ascii="Calibri" w:hAnsi="Calibri" w:eastAsia="Times New Roman" w:cs="Calibri"/>
          <w:color w:val="0B0C0C"/>
          <w:kern w:val="0"/>
          <w:lang w:eastAsia="en-GB"/>
          <w14:ligatures w14:val="none"/>
        </w:rPr>
        <w:t xml:space="preserve"> Inspection operating guide for inspectors</w:t>
      </w:r>
      <w:r w:rsidR="005E0BBF">
        <w:rPr>
          <w:rFonts w:ascii="Calibri" w:hAnsi="Calibri" w:eastAsia="Times New Roman" w:cs="Calibri"/>
          <w:color w:val="0B0C0C"/>
          <w:kern w:val="0"/>
          <w:lang w:eastAsia="en-GB"/>
          <w14:ligatures w14:val="none"/>
        </w:rPr>
        <w:t>)</w:t>
      </w:r>
      <w:r w:rsidR="006B1D70">
        <w:rPr>
          <w:rFonts w:ascii="Calibri" w:hAnsi="Calibri" w:cs="Calibri"/>
        </w:rPr>
        <w:t xml:space="preserve"> in relation to your context and</w:t>
      </w:r>
      <w:r w:rsidR="00B0184F">
        <w:rPr>
          <w:rFonts w:ascii="Calibri" w:hAnsi="Calibri" w:cs="Calibri"/>
        </w:rPr>
        <w:t xml:space="preserve"> priorities</w:t>
      </w:r>
      <w:r w:rsidRPr="00AB6F41">
        <w:rPr>
          <w:rFonts w:ascii="Calibri" w:hAnsi="Calibri" w:cs="Calibri"/>
        </w:rPr>
        <w:t xml:space="preserve">. Use the space below to help you to </w:t>
      </w:r>
      <w:r w:rsidR="00B0184F">
        <w:rPr>
          <w:rFonts w:ascii="Calibri" w:hAnsi="Calibri" w:cs="Calibri"/>
        </w:rPr>
        <w:t>consider</w:t>
      </w:r>
      <w:r w:rsidRPr="00AB6F41">
        <w:rPr>
          <w:rFonts w:ascii="Calibri" w:hAnsi="Calibri" w:cs="Calibri"/>
        </w:rPr>
        <w:t xml:space="preserve"> your responses.</w:t>
      </w:r>
    </w:p>
    <w:p w:rsidRPr="0023382C" w:rsidR="0023382C" w:rsidP="00784949" w:rsidRDefault="0023382C" w14:paraId="246C5B44" w14:textId="77777777">
      <w:pPr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Pr="00AB6F41" w:rsidR="009646B2" w:rsidTr="42081BEC" w14:paraId="68F2B75E" w14:textId="77777777">
        <w:tc>
          <w:tcPr>
            <w:tcW w:w="10485" w:type="dxa"/>
            <w:gridSpan w:val="2"/>
            <w:shd w:val="clear" w:color="auto" w:fill="A5C9EB" w:themeFill="text2" w:themeFillTint="40"/>
            <w:tcMar/>
          </w:tcPr>
          <w:p w:rsidRPr="00AB6F41" w:rsidR="00584270" w:rsidP="00595DF0" w:rsidRDefault="009646B2" w14:paraId="0EBC4D6B" w14:textId="35D23371">
            <w:pPr>
              <w:rPr>
                <w:rFonts w:ascii="Calibri" w:hAnsi="Calibri" w:cs="Calibri"/>
                <w:b/>
                <w:bCs/>
              </w:rPr>
            </w:pPr>
            <w:r w:rsidRPr="00AB6F41">
              <w:rPr>
                <w:rFonts w:ascii="Calibri" w:hAnsi="Calibri" w:cs="Calibri"/>
                <w:b/>
                <w:bCs/>
              </w:rPr>
              <w:t>Contextual information, leaders’ successes and leadership priorities</w:t>
            </w:r>
            <w:r w:rsidR="00584270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Pr="00AB6F41" w:rsidR="009646B2" w:rsidTr="42081BEC" w14:paraId="7DFFC3CF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9646B2" w:rsidP="00595DF0" w:rsidRDefault="009646B2" w14:paraId="42718583" w14:textId="1F264745">
            <w:pPr>
              <w:rPr>
                <w:rFonts w:ascii="Calibri" w:hAnsi="Calibri" w:cs="Calibri"/>
              </w:rPr>
            </w:pP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The </w:t>
            </w:r>
            <w:r w:rsidR="00B000E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school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’s context, including any changes since the previous inspection and details of (and responses to) any recent tensions in, or pressures from, the community</w:t>
            </w:r>
          </w:p>
        </w:tc>
        <w:tc>
          <w:tcPr>
            <w:tcW w:w="7513" w:type="dxa"/>
            <w:tcMar/>
          </w:tcPr>
          <w:p w:rsidRPr="00AB6F41" w:rsidR="009646B2" w:rsidP="42081BEC" w:rsidRDefault="009646B2" w14:paraId="181BCFCE" w14:textId="17FD1900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hyperlink r:id="Rafd6dcc96d4b4d56">
              <w:r w:rsidRPr="42081BEC" w:rsidR="6767D2C4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GB"/>
                </w:rPr>
                <w:t>Ward profile data</w:t>
              </w:r>
            </w:hyperlink>
          </w:p>
        </w:tc>
      </w:tr>
      <w:tr w:rsidRPr="00AB6F41" w:rsidR="009646B2" w:rsidTr="42081BEC" w14:paraId="3D5211D9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9646B2" w:rsidP="00595DF0" w:rsidRDefault="00C7207F" w14:paraId="5807E252" w14:textId="636B265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Leaders recent and ongoing priorities and challenges, the actions they have taken to maintain or improve standards, and how they have </w:t>
            </w:r>
            <w:r w:rsidR="00A35D76">
              <w:rPr>
                <w:rFonts w:ascii="Calibri" w:hAnsi="Calibri" w:cs="Calibri"/>
              </w:rPr>
              <w:t>assessed</w:t>
            </w:r>
            <w:r>
              <w:rPr>
                <w:rFonts w:ascii="Calibri" w:hAnsi="Calibri" w:cs="Calibri"/>
              </w:rPr>
              <w:t xml:space="preserve"> the impact of their actions</w:t>
            </w:r>
          </w:p>
        </w:tc>
        <w:tc>
          <w:tcPr>
            <w:tcW w:w="7513" w:type="dxa"/>
            <w:tcMar/>
          </w:tcPr>
          <w:p w:rsidRPr="00AB6F41" w:rsidR="009646B2" w:rsidP="00595DF0" w:rsidRDefault="009646B2" w14:paraId="41824306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9646B2" w:rsidTr="42081BEC" w14:paraId="7C50F8B4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9646B2" w:rsidP="00595DF0" w:rsidRDefault="00A35D76" w14:paraId="1083956A" w14:textId="355A363D">
            <w:pPr>
              <w:rPr>
                <w:rFonts w:ascii="Calibri" w:hAnsi="Calibri" w:cs="Calibri"/>
              </w:rPr>
            </w:pP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lastRenderedPageBreak/>
              <w:t xml:space="preserve">Leaders’ evaluation of the </w:t>
            </w: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school’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strengths and successes, and their priorities for improvement, including where they believe they currently sit in terms of the 5-point grading scale for each evaluation area</w:t>
            </w:r>
          </w:p>
        </w:tc>
        <w:tc>
          <w:tcPr>
            <w:tcW w:w="7513" w:type="dxa"/>
            <w:tcMar/>
          </w:tcPr>
          <w:p w:rsidRPr="00AB6F41" w:rsidR="009646B2" w:rsidP="00C7207F" w:rsidRDefault="009646B2" w14:paraId="2307C659" w14:textId="77777777">
            <w:pPr>
              <w:shd w:val="clear" w:color="auto" w:fill="FFFFFF"/>
              <w:spacing w:after="150"/>
              <w:ind w:left="1020"/>
              <w:rPr>
                <w:rFonts w:ascii="Calibri" w:hAnsi="Calibri" w:cs="Calibri"/>
              </w:rPr>
            </w:pPr>
          </w:p>
        </w:tc>
      </w:tr>
      <w:tr w:rsidRPr="00AB6F41" w:rsidR="00B73C35" w:rsidTr="42081BEC" w14:paraId="4B270AF7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B73C35" w:rsidP="00595DF0" w:rsidRDefault="00B73C35" w14:paraId="5764E9B2" w14:textId="2F9D50B8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Relevant safeguarding </w:t>
            </w:r>
            <w:r w:rsidR="0013404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matters</w:t>
            </w: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, as identified by leaders – this includes any safeguarding concerns, or allegations made about adults</w:t>
            </w:r>
          </w:p>
        </w:tc>
        <w:tc>
          <w:tcPr>
            <w:tcW w:w="7513" w:type="dxa"/>
            <w:tcMar/>
          </w:tcPr>
          <w:p w:rsidRPr="00AB6F41" w:rsidR="00B73C35" w:rsidP="00595DF0" w:rsidRDefault="00B73C35" w14:paraId="5566285B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9646B2" w:rsidTr="42081BEC" w14:paraId="20924CD2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821387" w:rsidP="001D1F4A" w:rsidRDefault="009646B2" w14:paraId="680FBFC7" w14:textId="77777777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AB6F41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The information asked for as part of the notification email to identify</w:t>
            </w:r>
            <w:r w:rsidRPr="00AB6F41" w:rsidR="001D1F4A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: </w:t>
            </w:r>
          </w:p>
          <w:p w:rsidRPr="00AB6F41" w:rsidR="00DC3442" w:rsidP="00DC3442" w:rsidRDefault="00CD4BD2" w14:paraId="373CFA9A" w14:textId="76B81E72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1.</w:t>
            </w:r>
            <w:r w:rsidRPr="00AB6F41" w:rsidR="00DC344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disadvantaged children </w:t>
            </w:r>
            <w:r w:rsidR="00552A99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(including those in receipt of EYPP)</w:t>
            </w:r>
          </w:p>
          <w:p w:rsidRPr="00AB6F41" w:rsidR="00DC3442" w:rsidP="00DC3442" w:rsidRDefault="00CD4BD2" w14:paraId="31882874" w14:textId="61985CD4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2.</w:t>
            </w:r>
            <w:r w:rsidR="008D070B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those with SEND</w:t>
            </w:r>
          </w:p>
          <w:p w:rsidRPr="00AB6F41" w:rsidR="00DC3442" w:rsidP="00DC3442" w:rsidRDefault="00CD4BD2" w14:paraId="45948FBB" w14:textId="3F4BFF92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3. 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those who are known (or were previously known) to children’s social care</w:t>
            </w:r>
          </w:p>
          <w:p w:rsidRPr="00AB6F41" w:rsidR="009646B2" w:rsidP="00DC3442" w:rsidRDefault="00CD4BD2" w14:paraId="49621052" w14:textId="6A1A3841">
            <w:pPr>
              <w:rPr>
                <w:rFonts w:ascii="Calibri" w:hAnsi="Calibri" w:cs="Calibri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4.</w:t>
            </w:r>
            <w:r w:rsidR="008D070B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</w:t>
            </w:r>
            <w:r w:rsidRPr="00AB6F41" w:rsidR="00DC344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hose who face other barriers to their learning and/or well-being</w:t>
            </w:r>
          </w:p>
        </w:tc>
        <w:tc>
          <w:tcPr>
            <w:tcW w:w="7513" w:type="dxa"/>
            <w:tcMar/>
          </w:tcPr>
          <w:p w:rsidRPr="003E2235" w:rsidR="009646B2" w:rsidP="00595DF0" w:rsidRDefault="001D1F4A" w14:paraId="5A613EA4" w14:textId="77777777">
            <w:pPr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</w:pPr>
            <w:r w:rsidRPr="003E2235">
              <w:rPr>
                <w:rFonts w:ascii="Calibri" w:hAnsi="Calibri" w:cs="Calibri"/>
                <w:i/>
                <w:iCs/>
              </w:rPr>
              <w:t>Ensure that you can provide a list of children in these groups. Inspectors will</w:t>
            </w:r>
            <w:r w:rsidRPr="003E2235">
              <w:rPr>
                <w:rFonts w:ascii="Calibri" w:hAnsi="Calibri" w:eastAsia="Times New Roman" w:cs="Calibri"/>
                <w:i/>
                <w:iCs/>
                <w:color w:val="0B0C0C"/>
                <w:kern w:val="0"/>
                <w:lang w:eastAsia="en-GB"/>
                <w14:ligatures w14:val="none"/>
              </w:rPr>
              <w:t xml:space="preserve"> select a representative sample for case sampling.</w:t>
            </w:r>
          </w:p>
          <w:p w:rsidR="007B2CE4" w:rsidP="00595DF0" w:rsidRDefault="007B2CE4" w14:paraId="08ACE56D" w14:textId="77777777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</w:p>
          <w:p w:rsidRPr="00AB6F41" w:rsidR="007B2CE4" w:rsidP="00595DF0" w:rsidRDefault="007B2CE4" w14:paraId="5218E83D" w14:textId="3753D4B7">
            <w:pPr>
              <w:rPr>
                <w:rFonts w:ascii="Calibri" w:hAnsi="Calibri" w:cs="Calibri"/>
              </w:rPr>
            </w:pPr>
          </w:p>
        </w:tc>
      </w:tr>
      <w:tr w:rsidRPr="00AB6F41" w:rsidR="003E2235" w:rsidTr="42081BEC" w14:paraId="42CEFE89" w14:textId="77777777">
        <w:tc>
          <w:tcPr>
            <w:tcW w:w="10485" w:type="dxa"/>
            <w:gridSpan w:val="2"/>
            <w:shd w:val="clear" w:color="auto" w:fill="A5C9EB" w:themeFill="text2" w:themeFillTint="40"/>
            <w:tcMar/>
          </w:tcPr>
          <w:p w:rsidRPr="00FF2145" w:rsidR="003E2235" w:rsidP="00595DF0" w:rsidRDefault="003E2235" w14:paraId="26AFD6C5" w14:textId="31CDD5F2">
            <w:pPr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</w:pPr>
            <w:r w:rsidRPr="00FF2145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Leaders’ approach to inclusion</w:t>
            </w:r>
            <w:r w:rsidR="00FF2145">
              <w:rPr>
                <w:rFonts w:ascii="Calibri" w:hAnsi="Calibri" w:eastAsia="Times New Roman" w:cs="Calibri"/>
                <w:b/>
                <w:bCs/>
                <w:color w:val="0B0C0C"/>
                <w:kern w:val="0"/>
                <w:lang w:eastAsia="en-GB"/>
                <w14:ligatures w14:val="none"/>
              </w:rPr>
              <w:t>:</w:t>
            </w:r>
          </w:p>
        </w:tc>
      </w:tr>
      <w:tr w:rsidRPr="00AB6F41" w:rsidR="009646B2" w:rsidTr="42081BEC" w14:paraId="5C59B771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9646B2" w:rsidP="00132EB0" w:rsidRDefault="008D070B" w14:paraId="59759C88" w14:textId="6EAA8E0E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L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eaders’ approach to ensuring that staff are able to identify and support disadvantaged </w:t>
            </w:r>
            <w:r w:rsidR="0036790D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pupils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, those with SEND, those known (or previously known) to children’s social care, and those who face other barriers to their learning and/or well-bein</w:t>
            </w:r>
            <w:r w:rsidR="0036790D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g. (</w:t>
            </w:r>
            <w:r w:rsidRPr="00AB6F41" w:rsidR="009646B2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you need to consider this even if leaders have not identified any children on roll who fall into these groups – this is to ensure leaders are identifying and addressing children’s needs effectively</w:t>
            </w:r>
            <w:r w:rsidR="0036790D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7513" w:type="dxa"/>
            <w:tcMar/>
          </w:tcPr>
          <w:p w:rsidRPr="00AB6F41" w:rsidR="009646B2" w:rsidP="00595DF0" w:rsidRDefault="009646B2" w14:paraId="1002F410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6B76C22F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3FD3FE41" w14:textId="7D48B997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H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ow the s</w:t>
            </w:r>
            <w:r w:rsidR="0068700E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chool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supports these 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pupils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42CDC7CC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7CB43BC1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38AC5C22" w14:textId="4BA4F364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T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he impact of the support given to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pupils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and if and how that impact is monitored and reviewed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47575713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16BF1F28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3218C4C4" w14:textId="578E5125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teps the 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school</w:t>
            </w:r>
            <w:r w:rsidRPr="00AB6F41"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has taken to meet the duty to make reasonable adjustments for disabled children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7B4164A6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7CCC9E35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18860F4E" w14:textId="5B05DD90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lastRenderedPageBreak/>
              <w:t>T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he </w:t>
            </w:r>
            <w:r w:rsidR="003474C8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school’s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 xml:space="preserve"> timetable, how the curriculum is organised, and how leaders work with external professionals to meet children’s and pupil’s needs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6A05D516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6224C442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2FF8FE5B" w14:textId="73D39E82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A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ny current use of part time timetables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7E42C24B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43B6D7BD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AB6F41" w:rsidR="006E279A" w:rsidP="00595DF0" w:rsidRDefault="008D070B" w14:paraId="7BFA8C75" w14:textId="394D6A9B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W</w:t>
            </w:r>
            <w:r w:rsidR="00132EB0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here applicable, the school’s resourced provision or SEN unit, delegated to it by the LA – this must be inspected as part of the school inspection, and you must consider evidence about the resource base when grading the school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55EB6CB9" w14:textId="77777777">
            <w:pPr>
              <w:rPr>
                <w:rFonts w:ascii="Calibri" w:hAnsi="Calibri" w:cs="Calibri"/>
              </w:rPr>
            </w:pPr>
          </w:p>
        </w:tc>
      </w:tr>
      <w:tr w:rsidRPr="00AB6F41" w:rsidR="006E279A" w:rsidTr="42081BEC" w14:paraId="00B2FBF1" w14:textId="77777777">
        <w:tc>
          <w:tcPr>
            <w:tcW w:w="2972" w:type="dxa"/>
            <w:shd w:val="clear" w:color="auto" w:fill="DAE9F7" w:themeFill="text2" w:themeFillTint="1A"/>
            <w:tcMar/>
          </w:tcPr>
          <w:p w:rsidRPr="004455E9" w:rsidR="006E279A" w:rsidP="004455E9" w:rsidRDefault="00C83A4C" w14:paraId="4B6CA4C3" w14:textId="27A40F49">
            <w:pPr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</w:pPr>
            <w:r w:rsidRPr="004455E9">
              <w:rPr>
                <w:rFonts w:ascii="Calibri" w:hAnsi="Calibri" w:eastAsia="Times New Roman" w:cs="Calibri"/>
                <w:color w:val="0B0C0C"/>
                <w:kern w:val="0"/>
                <w:lang w:eastAsia="en-GB"/>
                <w14:ligatures w14:val="none"/>
              </w:rPr>
              <w:t>Whether the school is currently making any use of alternative provision</w:t>
            </w:r>
          </w:p>
        </w:tc>
        <w:tc>
          <w:tcPr>
            <w:tcW w:w="7513" w:type="dxa"/>
            <w:tcMar/>
          </w:tcPr>
          <w:p w:rsidRPr="00AB6F41" w:rsidR="006E279A" w:rsidP="00595DF0" w:rsidRDefault="006E279A" w14:paraId="21F9A170" w14:textId="77777777">
            <w:pPr>
              <w:rPr>
                <w:rFonts w:ascii="Calibri" w:hAnsi="Calibri" w:cs="Calibri"/>
              </w:rPr>
            </w:pPr>
          </w:p>
        </w:tc>
      </w:tr>
    </w:tbl>
    <w:p w:rsidRPr="006E279A" w:rsidR="005522BB" w:rsidP="005522BB" w:rsidRDefault="005522BB" w14:paraId="26A6AE23" w14:textId="77777777">
      <w:pPr>
        <w:shd w:val="clear" w:color="auto" w:fill="FFFFFF"/>
        <w:spacing w:after="150"/>
        <w:rPr>
          <w:rFonts w:ascii="Calibri" w:hAnsi="Calibri" w:cs="Calibri"/>
          <w:u w:val="single"/>
        </w:rPr>
      </w:pPr>
    </w:p>
    <w:sectPr w:rsidRPr="006E279A" w:rsidR="005522BB" w:rsidSect="0016058E">
      <w:footerReference w:type="even" r:id="rId8"/>
      <w:footerReference w:type="default" r:id="rId9"/>
      <w:footerReference w:type="first" r:id="rId10"/>
      <w:pgSz w:w="11906" w:h="16838" w:orient="portrait"/>
      <w:pgMar w:top="851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E4B" w:rsidP="00951AEF" w:rsidRDefault="006D7E4B" w14:paraId="512C2F9F" w14:textId="77777777">
      <w:r>
        <w:separator/>
      </w:r>
    </w:p>
  </w:endnote>
  <w:endnote w:type="continuationSeparator" w:id="0">
    <w:p w:rsidR="006D7E4B" w:rsidP="00951AEF" w:rsidRDefault="006D7E4B" w14:paraId="541B6A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1AEF" w:rsidRDefault="00951AEF" w14:paraId="2EE33D4C" w14:textId="7FCB1D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6E681" wp14:editId="0F96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9598219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1AEF" w:rsidR="00951AEF" w:rsidP="00951AEF" w:rsidRDefault="00951AEF" w14:paraId="142025E3" w14:textId="305A269E">
                          <w:pPr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1AEF"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E36E681">
              <v:stroke joinstyle="miter"/>
              <v:path gradientshapeok="t" o:connecttype="rect"/>
            </v:shapetype>
            <v:shape id="Text Box 2" style="position:absolute;margin-left:0;margin-top:0;width:60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">
              <v:textbox style="mso-fit-shape-to-text:t" inset="20pt,0,0,15pt">
                <w:txbxContent>
                  <w:p w:rsidRPr="00951AEF" w:rsidR="00951AEF" w:rsidP="00951AEF" w:rsidRDefault="00951AEF" w14:paraId="142025E3" w14:textId="305A269E">
                    <w:pPr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1AEF"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1AEF" w:rsidRDefault="00951AEF" w14:paraId="1EB9B1A4" w14:textId="60D308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F0A79E" wp14:editId="5EA508B4">
              <wp:simplePos x="4476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17440959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1AEF" w:rsidR="00951AEF" w:rsidP="00951AEF" w:rsidRDefault="00951AEF" w14:paraId="24D6458D" w14:textId="4B36F62F">
                          <w:pPr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1AEF"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F0A79E">
              <v:stroke joinstyle="miter"/>
              <v:path gradientshapeok="t" o:connecttype="rect"/>
            </v:shapetype>
            <v:shape id="Text Box 3" style="position:absolute;margin-left:0;margin-top:0;width:60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">
              <v:textbox style="mso-fit-shape-to-text:t" inset="20pt,0,0,15pt">
                <w:txbxContent>
                  <w:p w:rsidRPr="00951AEF" w:rsidR="00951AEF" w:rsidP="00951AEF" w:rsidRDefault="00951AEF" w14:paraId="24D6458D" w14:textId="4B36F62F">
                    <w:pPr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1AEF"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1AEF" w:rsidRDefault="00951AEF" w14:paraId="5AE3111D" w14:textId="15A2B7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8BFAC" wp14:editId="40C09D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45440"/>
              <wp:effectExtent l="0" t="0" r="8255" b="0"/>
              <wp:wrapNone/>
              <wp:docPr id="1199933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1AEF" w:rsidR="00951AEF" w:rsidP="00951AEF" w:rsidRDefault="00951AEF" w14:paraId="063E1D76" w14:textId="17FCF7A2">
                          <w:pPr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1AEF">
                            <w:rPr>
                              <w:rFonts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E78BFAC">
              <v:stroke joinstyle="miter"/>
              <v:path gradientshapeok="t" o:connecttype="rect"/>
            </v:shapetype>
            <v:shape id="Text Box 1" style="position:absolute;margin-left:0;margin-top:0;width:60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TiFAIAACEEAAAOAAAAZHJzL2Uyb0RvYy54bWysU99v2jAQfp+0/8Hy+0hgMNa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">
              <v:textbox style="mso-fit-shape-to-text:t" inset="20pt,0,0,15pt">
                <w:txbxContent>
                  <w:p w:rsidRPr="00951AEF" w:rsidR="00951AEF" w:rsidP="00951AEF" w:rsidRDefault="00951AEF" w14:paraId="063E1D76" w14:textId="17FCF7A2">
                    <w:pPr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51AEF">
                      <w:rPr>
                        <w:rFonts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E4B" w:rsidP="00951AEF" w:rsidRDefault="006D7E4B" w14:paraId="5344120F" w14:textId="77777777">
      <w:r>
        <w:separator/>
      </w:r>
    </w:p>
  </w:footnote>
  <w:footnote w:type="continuationSeparator" w:id="0">
    <w:p w:rsidR="006D7E4B" w:rsidP="00951AEF" w:rsidRDefault="006D7E4B" w14:paraId="3C59A75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4A"/>
    <w:multiLevelType w:val="multilevel"/>
    <w:tmpl w:val="71D6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0B72C29"/>
    <w:multiLevelType w:val="hybridMultilevel"/>
    <w:tmpl w:val="C3A89B2E"/>
    <w:lvl w:ilvl="0" w:tplc="141268E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4220B"/>
    <w:multiLevelType w:val="multilevel"/>
    <w:tmpl w:val="66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2C1E86"/>
    <w:multiLevelType w:val="multilevel"/>
    <w:tmpl w:val="4BC6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2F3680"/>
    <w:multiLevelType w:val="hybridMultilevel"/>
    <w:tmpl w:val="55809572"/>
    <w:lvl w:ilvl="0" w:tplc="6D804FB6">
      <w:start w:val="5"/>
      <w:numFmt w:val="bullet"/>
      <w:lvlText w:val="-"/>
      <w:lvlJc w:val="left"/>
      <w:pPr>
        <w:ind w:left="1080" w:hanging="360"/>
      </w:pPr>
      <w:rPr>
        <w:rFonts w:hint="default" w:ascii="Aptos" w:hAnsi="Aptos" w:eastAsia="Aptos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4721976"/>
    <w:multiLevelType w:val="multilevel"/>
    <w:tmpl w:val="027A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75A1BAA"/>
    <w:multiLevelType w:val="hybridMultilevel"/>
    <w:tmpl w:val="0DB408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5B1EAF"/>
    <w:multiLevelType w:val="hybridMultilevel"/>
    <w:tmpl w:val="960CD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ED6DA5"/>
    <w:multiLevelType w:val="hybridMultilevel"/>
    <w:tmpl w:val="379E2D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AE2FCD"/>
    <w:multiLevelType w:val="hybridMultilevel"/>
    <w:tmpl w:val="32B22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AF7A65"/>
    <w:multiLevelType w:val="hybridMultilevel"/>
    <w:tmpl w:val="8BC4686C"/>
    <w:lvl w:ilvl="0" w:tplc="6D804FB6">
      <w:start w:val="5"/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8D1144"/>
    <w:multiLevelType w:val="multilevel"/>
    <w:tmpl w:val="2D6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39712B6"/>
    <w:multiLevelType w:val="hybridMultilevel"/>
    <w:tmpl w:val="1B8ABC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2029E0"/>
    <w:multiLevelType w:val="hybridMultilevel"/>
    <w:tmpl w:val="6DDE4B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3640BF"/>
    <w:multiLevelType w:val="hybridMultilevel"/>
    <w:tmpl w:val="9F261296"/>
    <w:lvl w:ilvl="0" w:tplc="141268E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FB15CD"/>
    <w:multiLevelType w:val="hybridMultilevel"/>
    <w:tmpl w:val="0D142D5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6" w15:restartNumberingAfterBreak="0">
    <w:nsid w:val="35332AC7"/>
    <w:multiLevelType w:val="multilevel"/>
    <w:tmpl w:val="A1EA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57869DE"/>
    <w:multiLevelType w:val="multilevel"/>
    <w:tmpl w:val="616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13B26CA"/>
    <w:multiLevelType w:val="hybridMultilevel"/>
    <w:tmpl w:val="7A72EDEE"/>
    <w:lvl w:ilvl="0" w:tplc="01C4FDBA">
      <w:start w:val="5"/>
      <w:numFmt w:val="bullet"/>
      <w:lvlText w:val="-"/>
      <w:lvlJc w:val="left"/>
      <w:pPr>
        <w:ind w:left="1080" w:hanging="360"/>
      </w:pPr>
      <w:rPr>
        <w:rFonts w:hint="default" w:ascii="Aptos" w:hAnsi="Aptos" w:eastAsia="Aptos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A223374"/>
    <w:multiLevelType w:val="hybridMultilevel"/>
    <w:tmpl w:val="65F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1231F4"/>
    <w:multiLevelType w:val="multilevel"/>
    <w:tmpl w:val="1046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6D413B1"/>
    <w:multiLevelType w:val="multilevel"/>
    <w:tmpl w:val="60B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3E6061F"/>
    <w:multiLevelType w:val="multilevel"/>
    <w:tmpl w:val="11A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F2D2940"/>
    <w:multiLevelType w:val="multilevel"/>
    <w:tmpl w:val="781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38971588">
    <w:abstractNumId w:val="5"/>
  </w:num>
  <w:num w:numId="2" w16cid:durableId="1986085987">
    <w:abstractNumId w:val="16"/>
  </w:num>
  <w:num w:numId="3" w16cid:durableId="2082831288">
    <w:abstractNumId w:val="21"/>
  </w:num>
  <w:num w:numId="4" w16cid:durableId="412120320">
    <w:abstractNumId w:val="17"/>
  </w:num>
  <w:num w:numId="5" w16cid:durableId="670838217">
    <w:abstractNumId w:val="2"/>
  </w:num>
  <w:num w:numId="6" w16cid:durableId="168259714">
    <w:abstractNumId w:val="11"/>
  </w:num>
  <w:num w:numId="7" w16cid:durableId="2058309606">
    <w:abstractNumId w:val="0"/>
  </w:num>
  <w:num w:numId="8" w16cid:durableId="814100443">
    <w:abstractNumId w:val="20"/>
  </w:num>
  <w:num w:numId="9" w16cid:durableId="324550893">
    <w:abstractNumId w:val="1"/>
  </w:num>
  <w:num w:numId="10" w16cid:durableId="353848031">
    <w:abstractNumId w:val="8"/>
  </w:num>
  <w:num w:numId="11" w16cid:durableId="1348603877">
    <w:abstractNumId w:val="23"/>
  </w:num>
  <w:num w:numId="12" w16cid:durableId="802970108">
    <w:abstractNumId w:val="14"/>
  </w:num>
  <w:num w:numId="13" w16cid:durableId="1952855719">
    <w:abstractNumId w:val="22"/>
  </w:num>
  <w:num w:numId="14" w16cid:durableId="761724991">
    <w:abstractNumId w:val="6"/>
  </w:num>
  <w:num w:numId="15" w16cid:durableId="2125031214">
    <w:abstractNumId w:val="12"/>
  </w:num>
  <w:num w:numId="16" w16cid:durableId="784235922">
    <w:abstractNumId w:val="13"/>
  </w:num>
  <w:num w:numId="17" w16cid:durableId="1204558259">
    <w:abstractNumId w:val="9"/>
  </w:num>
  <w:num w:numId="18" w16cid:durableId="1203059605">
    <w:abstractNumId w:val="18"/>
  </w:num>
  <w:num w:numId="19" w16cid:durableId="72096036">
    <w:abstractNumId w:val="4"/>
  </w:num>
  <w:num w:numId="20" w16cid:durableId="739249443">
    <w:abstractNumId w:val="10"/>
  </w:num>
  <w:num w:numId="21" w16cid:durableId="645596189">
    <w:abstractNumId w:val="3"/>
  </w:num>
  <w:num w:numId="22" w16cid:durableId="1925649466">
    <w:abstractNumId w:val="15"/>
  </w:num>
  <w:num w:numId="23" w16cid:durableId="298804778">
    <w:abstractNumId w:val="7"/>
  </w:num>
  <w:num w:numId="24" w16cid:durableId="26689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16"/>
    <w:rsid w:val="000127A5"/>
    <w:rsid w:val="00031D4F"/>
    <w:rsid w:val="00036CF8"/>
    <w:rsid w:val="00043E60"/>
    <w:rsid w:val="00057A70"/>
    <w:rsid w:val="000651EA"/>
    <w:rsid w:val="00083B8F"/>
    <w:rsid w:val="000E74A6"/>
    <w:rsid w:val="000F6E7E"/>
    <w:rsid w:val="000F73BC"/>
    <w:rsid w:val="0010277E"/>
    <w:rsid w:val="001045AE"/>
    <w:rsid w:val="00107B91"/>
    <w:rsid w:val="0011516A"/>
    <w:rsid w:val="00132EB0"/>
    <w:rsid w:val="00134042"/>
    <w:rsid w:val="0013628D"/>
    <w:rsid w:val="001550DF"/>
    <w:rsid w:val="0016058E"/>
    <w:rsid w:val="001650C5"/>
    <w:rsid w:val="0017275A"/>
    <w:rsid w:val="00182971"/>
    <w:rsid w:val="00184D86"/>
    <w:rsid w:val="00190E60"/>
    <w:rsid w:val="001C76C6"/>
    <w:rsid w:val="001D1F4A"/>
    <w:rsid w:val="001D41D8"/>
    <w:rsid w:val="001F1276"/>
    <w:rsid w:val="0023382C"/>
    <w:rsid w:val="00243682"/>
    <w:rsid w:val="00247046"/>
    <w:rsid w:val="00247622"/>
    <w:rsid w:val="00263D11"/>
    <w:rsid w:val="0027413A"/>
    <w:rsid w:val="00276C25"/>
    <w:rsid w:val="00284C48"/>
    <w:rsid w:val="002D02B5"/>
    <w:rsid w:val="002D5172"/>
    <w:rsid w:val="0032504E"/>
    <w:rsid w:val="0032707D"/>
    <w:rsid w:val="00331A46"/>
    <w:rsid w:val="00343E3F"/>
    <w:rsid w:val="003474C8"/>
    <w:rsid w:val="0036091F"/>
    <w:rsid w:val="0036790D"/>
    <w:rsid w:val="003866D7"/>
    <w:rsid w:val="00394E25"/>
    <w:rsid w:val="003C3904"/>
    <w:rsid w:val="003E2235"/>
    <w:rsid w:val="00402927"/>
    <w:rsid w:val="00436D09"/>
    <w:rsid w:val="004455E9"/>
    <w:rsid w:val="004649A1"/>
    <w:rsid w:val="004674D4"/>
    <w:rsid w:val="004F00AF"/>
    <w:rsid w:val="004F2478"/>
    <w:rsid w:val="004F319F"/>
    <w:rsid w:val="005100F7"/>
    <w:rsid w:val="00534311"/>
    <w:rsid w:val="005522BB"/>
    <w:rsid w:val="00552A99"/>
    <w:rsid w:val="00555C0A"/>
    <w:rsid w:val="00584270"/>
    <w:rsid w:val="005A000B"/>
    <w:rsid w:val="005A5D24"/>
    <w:rsid w:val="005C4891"/>
    <w:rsid w:val="005D02CF"/>
    <w:rsid w:val="005E0BBF"/>
    <w:rsid w:val="005E7B84"/>
    <w:rsid w:val="005F484C"/>
    <w:rsid w:val="005F5D98"/>
    <w:rsid w:val="005F6987"/>
    <w:rsid w:val="00617641"/>
    <w:rsid w:val="00647B64"/>
    <w:rsid w:val="00652AF8"/>
    <w:rsid w:val="0067107C"/>
    <w:rsid w:val="00676826"/>
    <w:rsid w:val="0068700E"/>
    <w:rsid w:val="006B1D70"/>
    <w:rsid w:val="006C1E0C"/>
    <w:rsid w:val="006C785D"/>
    <w:rsid w:val="006D7E4B"/>
    <w:rsid w:val="006E279A"/>
    <w:rsid w:val="00704968"/>
    <w:rsid w:val="00713856"/>
    <w:rsid w:val="00717475"/>
    <w:rsid w:val="0072797F"/>
    <w:rsid w:val="00736C5A"/>
    <w:rsid w:val="00763690"/>
    <w:rsid w:val="007750AA"/>
    <w:rsid w:val="00784115"/>
    <w:rsid w:val="00784949"/>
    <w:rsid w:val="007A2B0D"/>
    <w:rsid w:val="007B0572"/>
    <w:rsid w:val="007B2CE4"/>
    <w:rsid w:val="007D4CC3"/>
    <w:rsid w:val="008045FF"/>
    <w:rsid w:val="00821387"/>
    <w:rsid w:val="00832D90"/>
    <w:rsid w:val="00857E38"/>
    <w:rsid w:val="008974F5"/>
    <w:rsid w:val="008A594E"/>
    <w:rsid w:val="008D070B"/>
    <w:rsid w:val="008D46E7"/>
    <w:rsid w:val="008E4BD7"/>
    <w:rsid w:val="008F57E2"/>
    <w:rsid w:val="008F5D59"/>
    <w:rsid w:val="00914FD0"/>
    <w:rsid w:val="00931084"/>
    <w:rsid w:val="00951AEF"/>
    <w:rsid w:val="00956767"/>
    <w:rsid w:val="009646B2"/>
    <w:rsid w:val="00965527"/>
    <w:rsid w:val="0097090F"/>
    <w:rsid w:val="009F1C6B"/>
    <w:rsid w:val="00A218B1"/>
    <w:rsid w:val="00A23725"/>
    <w:rsid w:val="00A24B6C"/>
    <w:rsid w:val="00A35D76"/>
    <w:rsid w:val="00A47989"/>
    <w:rsid w:val="00A74D34"/>
    <w:rsid w:val="00A82407"/>
    <w:rsid w:val="00A867E7"/>
    <w:rsid w:val="00A86D8F"/>
    <w:rsid w:val="00AB6F41"/>
    <w:rsid w:val="00AC0D4F"/>
    <w:rsid w:val="00AF613E"/>
    <w:rsid w:val="00AF6787"/>
    <w:rsid w:val="00B000E2"/>
    <w:rsid w:val="00B0184F"/>
    <w:rsid w:val="00B02A44"/>
    <w:rsid w:val="00B26EDA"/>
    <w:rsid w:val="00B31FD1"/>
    <w:rsid w:val="00B447E8"/>
    <w:rsid w:val="00B66F66"/>
    <w:rsid w:val="00B73C35"/>
    <w:rsid w:val="00B803EA"/>
    <w:rsid w:val="00B85E2E"/>
    <w:rsid w:val="00B872A5"/>
    <w:rsid w:val="00BB2D40"/>
    <w:rsid w:val="00BC4A16"/>
    <w:rsid w:val="00BC5016"/>
    <w:rsid w:val="00C02789"/>
    <w:rsid w:val="00C02F57"/>
    <w:rsid w:val="00C07182"/>
    <w:rsid w:val="00C268A6"/>
    <w:rsid w:val="00C27111"/>
    <w:rsid w:val="00C46D17"/>
    <w:rsid w:val="00C53C59"/>
    <w:rsid w:val="00C54E34"/>
    <w:rsid w:val="00C7207F"/>
    <w:rsid w:val="00C83A4C"/>
    <w:rsid w:val="00C922D1"/>
    <w:rsid w:val="00CA2C12"/>
    <w:rsid w:val="00CB19B4"/>
    <w:rsid w:val="00CD4BD2"/>
    <w:rsid w:val="00D12E28"/>
    <w:rsid w:val="00D17B62"/>
    <w:rsid w:val="00D46FFF"/>
    <w:rsid w:val="00D70FDD"/>
    <w:rsid w:val="00DB011E"/>
    <w:rsid w:val="00DB64D4"/>
    <w:rsid w:val="00DC3442"/>
    <w:rsid w:val="00DD18A8"/>
    <w:rsid w:val="00DD39A9"/>
    <w:rsid w:val="00DD43D0"/>
    <w:rsid w:val="00DD4FB2"/>
    <w:rsid w:val="00E015E9"/>
    <w:rsid w:val="00E416B1"/>
    <w:rsid w:val="00E44BA8"/>
    <w:rsid w:val="00E54BD5"/>
    <w:rsid w:val="00E5569C"/>
    <w:rsid w:val="00E56C4F"/>
    <w:rsid w:val="00E70A0C"/>
    <w:rsid w:val="00EA22DC"/>
    <w:rsid w:val="00ED214C"/>
    <w:rsid w:val="00ED7CF8"/>
    <w:rsid w:val="00EE2C1A"/>
    <w:rsid w:val="00EE5A74"/>
    <w:rsid w:val="00EF6A48"/>
    <w:rsid w:val="00F263DE"/>
    <w:rsid w:val="00F53FD1"/>
    <w:rsid w:val="00F6017E"/>
    <w:rsid w:val="00F61267"/>
    <w:rsid w:val="00F74946"/>
    <w:rsid w:val="00F81CD7"/>
    <w:rsid w:val="00F95833"/>
    <w:rsid w:val="00FD6E05"/>
    <w:rsid w:val="00FE6ACF"/>
    <w:rsid w:val="00FF2145"/>
    <w:rsid w:val="42081BEC"/>
    <w:rsid w:val="44F8A602"/>
    <w:rsid w:val="6767D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AE92"/>
  <w15:chartTrackingRefBased/>
  <w15:docId w15:val="{CAF5D7B0-907D-468E-B0C3-8511AC49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5016"/>
    <w:pPr>
      <w:spacing w:after="0" w:line="240" w:lineRule="auto"/>
    </w:pPr>
    <w:rPr>
      <w:rFonts w:ascii="Aptos" w:hAnsi="Aptos" w:eastAsia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0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0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50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50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50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50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50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50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50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50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5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01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50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5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0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5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0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5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0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51AE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1AEF"/>
    <w:rPr>
      <w:rFonts w:ascii="Aptos" w:hAnsi="Aptos" w:eastAsia="Aptos" w:cs="Times New Roman"/>
    </w:rPr>
  </w:style>
  <w:style w:type="table" w:styleId="TableGrid">
    <w:name w:val="Table Grid"/>
    <w:basedOn w:val="TableNormal"/>
    <w:uiPriority w:val="39"/>
    <w:rsid w:val="004649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42081BE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bristol.gov.uk/council/statistics-census-information/ward-profile-data" TargetMode="External" Id="Rafd6dcc96d4b4d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23" ma:contentTypeDescription="Create a new document." ma:contentTypeScope="" ma:versionID="d9986469656760dc28fefed67f5be91e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b72e4f535c559d6d37ada505c390b2f5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A8F26C-0E0F-4A1B-9834-1A35E69595B8}"/>
</file>

<file path=customXml/itemProps2.xml><?xml version="1.0" encoding="utf-8"?>
<ds:datastoreItem xmlns:ds="http://schemas.openxmlformats.org/officeDocument/2006/customXml" ds:itemID="{685D6EA5-AB0E-4B15-9113-54CEED9E1AB8}"/>
</file>

<file path=customXml/itemProps3.xml><?xml version="1.0" encoding="utf-8"?>
<ds:datastoreItem xmlns:ds="http://schemas.openxmlformats.org/officeDocument/2006/customXml" ds:itemID="{3F350040-2BD4-4D0B-AF98-CF2D3C67BA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Hubble</dc:creator>
  <cp:keywords/>
  <dc:description/>
  <cp:lastModifiedBy>Kate Irvine</cp:lastModifiedBy>
  <cp:revision>60</cp:revision>
  <dcterms:created xsi:type="dcterms:W3CDTF">2025-12-10T10:25:00Z</dcterms:created>
  <dcterms:modified xsi:type="dcterms:W3CDTF">2026-02-04T16:18:30Z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726f3fb,3935b8ae,67f4cafd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e9fc0e63-07aa-4a42-9f0d-00e32f43700c_Enabled">
    <vt:lpwstr>true</vt:lpwstr>
  </property>
  <property fmtid="{D5CDD505-2E9C-101B-9397-08002B2CF9AE}" pid="6" name="MSIP_Label_e9fc0e63-07aa-4a42-9f0d-00e32f43700c_SetDate">
    <vt:lpwstr>2025-11-12T10:10:52Z</vt:lpwstr>
  </property>
  <property fmtid="{D5CDD505-2E9C-101B-9397-08002B2CF9AE}" pid="7" name="MSIP_Label_e9fc0e63-07aa-4a42-9f0d-00e32f43700c_Method">
    <vt:lpwstr>Standard</vt:lpwstr>
  </property>
  <property fmtid="{D5CDD505-2E9C-101B-9397-08002B2CF9AE}" pid="8" name="MSIP_Label_e9fc0e63-07aa-4a42-9f0d-00e32f43700c_Name">
    <vt:lpwstr>OFFICIAL - Internal</vt:lpwstr>
  </property>
  <property fmtid="{D5CDD505-2E9C-101B-9397-08002B2CF9AE}" pid="9" name="MSIP_Label_e9fc0e63-07aa-4a42-9f0d-00e32f43700c_SiteId">
    <vt:lpwstr>6378a7a5-0f21-4482-aee0-897eb7de331f</vt:lpwstr>
  </property>
  <property fmtid="{D5CDD505-2E9C-101B-9397-08002B2CF9AE}" pid="10" name="MSIP_Label_e9fc0e63-07aa-4a42-9f0d-00e32f43700c_ActionId">
    <vt:lpwstr>954e3189-4b31-40d7-a025-5c7559e67f80</vt:lpwstr>
  </property>
  <property fmtid="{D5CDD505-2E9C-101B-9397-08002B2CF9AE}" pid="11" name="MSIP_Label_e9fc0e63-07aa-4a42-9f0d-00e32f43700c_ContentBits">
    <vt:lpwstr>2</vt:lpwstr>
  </property>
  <property fmtid="{D5CDD505-2E9C-101B-9397-08002B2CF9AE}" pid="12" name="MSIP_Label_e9fc0e63-07aa-4a42-9f0d-00e32f43700c_Tag">
    <vt:lpwstr>10, 3, 0, 1</vt:lpwstr>
  </property>
  <property fmtid="{D5CDD505-2E9C-101B-9397-08002B2CF9AE}" pid="13" name="ContentTypeId">
    <vt:lpwstr>0x0101003553EBC817195249991CE1EDB110EF1E</vt:lpwstr>
  </property>
  <property fmtid="{D5CDD505-2E9C-101B-9397-08002B2CF9AE}" pid="14" name="MediaServiceImageTags">
    <vt:lpwstr/>
  </property>
</Properties>
</file>